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C0FB66">
      <w:pPr>
        <w:ind w:firstLine="0" w:firstLineChars="0"/>
        <w:rPr>
          <w:rFonts w:hint="eastAsia" w:ascii="Times New Roman" w:hAnsi="Times New Roman" w:eastAsia="宋体" w:cs="宋体"/>
          <w:caps w:val="0"/>
          <w:color w:val="FF0000"/>
          <w:spacing w:val="0"/>
          <w:highlight w:val="none"/>
        </w:rPr>
      </w:pPr>
      <w:r>
        <w:rPr>
          <w:highlight w:val="none"/>
        </w:rPr>
        <w:drawing>
          <wp:inline distT="0" distB="0" distL="114300" distR="114300">
            <wp:extent cx="5258435" cy="7486650"/>
            <wp:effectExtent l="0" t="0" r="18415" b="0"/>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16"/>
                    <a:stretch>
                      <a:fillRect/>
                    </a:stretch>
                  </pic:blipFill>
                  <pic:spPr>
                    <a:xfrm>
                      <a:off x="0" y="0"/>
                      <a:ext cx="5258435" cy="7486650"/>
                    </a:xfrm>
                    <a:prstGeom prst="rect">
                      <a:avLst/>
                    </a:prstGeom>
                    <a:noFill/>
                    <a:ln>
                      <a:noFill/>
                    </a:ln>
                  </pic:spPr>
                </pic:pic>
              </a:graphicData>
            </a:graphic>
          </wp:inline>
        </w:drawing>
      </w:r>
    </w:p>
    <w:p w14:paraId="28A9E4E4">
      <w:pPr>
        <w:rPr>
          <w:rFonts w:hint="eastAsia" w:ascii="Times New Roman" w:hAnsi="Times New Roman" w:eastAsia="宋体" w:cs="宋体"/>
          <w:caps w:val="0"/>
          <w:color w:val="FF0000"/>
          <w:spacing w:val="0"/>
          <w:highlight w:val="none"/>
        </w:rPr>
      </w:pPr>
    </w:p>
    <w:p w14:paraId="288CC307">
      <w:pPr>
        <w:rPr>
          <w:rFonts w:hint="eastAsia" w:ascii="Times New Roman" w:hAnsi="Times New Roman" w:eastAsia="宋体" w:cs="宋体"/>
          <w:caps w:val="0"/>
          <w:color w:val="FF0000"/>
          <w:spacing w:val="0"/>
          <w:highlight w:val="none"/>
        </w:rPr>
      </w:pPr>
    </w:p>
    <w:p w14:paraId="4D49E8E8">
      <w:pPr>
        <w:rPr>
          <w:rFonts w:hint="eastAsia" w:ascii="Times New Roman" w:hAnsi="Times New Roman" w:eastAsia="宋体" w:cs="宋体"/>
          <w:caps w:val="0"/>
          <w:color w:val="FF0000"/>
          <w:spacing w:val="0"/>
          <w:highlight w:val="none"/>
        </w:rPr>
      </w:pPr>
    </w:p>
    <w:p w14:paraId="0757BAA2">
      <w:pPr>
        <w:rPr>
          <w:rFonts w:hint="eastAsia" w:ascii="Times New Roman" w:hAnsi="Times New Roman" w:eastAsia="宋体" w:cs="宋体"/>
          <w:caps w:val="0"/>
          <w:color w:val="FF0000"/>
          <w:spacing w:val="0"/>
          <w:highlight w:val="none"/>
        </w:rPr>
      </w:pPr>
    </w:p>
    <w:p w14:paraId="7A832824">
      <w:pPr>
        <w:rPr>
          <w:rFonts w:hint="eastAsia" w:ascii="Times New Roman" w:hAnsi="Times New Roman" w:eastAsia="宋体" w:cs="宋体"/>
          <w:caps w:val="0"/>
          <w:color w:val="FF0000"/>
          <w:spacing w:val="0"/>
          <w:highlight w:val="none"/>
        </w:rPr>
      </w:pPr>
    </w:p>
    <w:p w14:paraId="0C4D0AC9">
      <w:pPr>
        <w:rPr>
          <w:rFonts w:hint="eastAsia" w:ascii="Times New Roman" w:hAnsi="Times New Roman" w:eastAsia="宋体" w:cs="宋体"/>
          <w:caps w:val="0"/>
          <w:color w:val="FF0000"/>
          <w:spacing w:val="0"/>
          <w:highlight w:val="none"/>
        </w:rPr>
      </w:pPr>
    </w:p>
    <w:p w14:paraId="606C56B0">
      <w:pPr>
        <w:rPr>
          <w:rFonts w:hint="eastAsia" w:ascii="Times New Roman" w:hAnsi="Times New Roman" w:eastAsia="宋体" w:cs="宋体"/>
          <w:caps w:val="0"/>
          <w:spacing w:val="0"/>
          <w:highlight w:val="none"/>
        </w:rPr>
      </w:pPr>
    </w:p>
    <w:p w14:paraId="2D210756">
      <w:pPr>
        <w:rPr>
          <w:rFonts w:hint="eastAsia" w:ascii="Times New Roman" w:hAnsi="Times New Roman" w:eastAsia="宋体" w:cs="宋体"/>
          <w:caps w:val="0"/>
          <w:spacing w:val="0"/>
          <w:highlight w:val="none"/>
        </w:rPr>
      </w:pPr>
    </w:p>
    <w:p w14:paraId="7A567058">
      <w:pPr>
        <w:rPr>
          <w:rFonts w:hint="eastAsia" w:ascii="Times New Roman" w:hAnsi="Times New Roman" w:eastAsia="宋体" w:cs="宋体"/>
          <w:caps w:val="0"/>
          <w:spacing w:val="0"/>
          <w:highlight w:val="none"/>
        </w:rPr>
      </w:pPr>
    </w:p>
    <w:p w14:paraId="037698AA">
      <w:pPr>
        <w:rPr>
          <w:rFonts w:hint="eastAsia" w:ascii="Times New Roman" w:hAnsi="Times New Roman" w:eastAsia="宋体" w:cs="宋体"/>
          <w:caps w:val="0"/>
          <w:spacing w:val="0"/>
          <w:highlight w:val="none"/>
        </w:rPr>
      </w:pPr>
    </w:p>
    <w:p w14:paraId="3C1197E5">
      <w:pPr>
        <w:rPr>
          <w:rFonts w:hint="eastAsia" w:ascii="Times New Roman" w:hAnsi="Times New Roman" w:eastAsia="宋体" w:cs="宋体"/>
          <w:caps w:val="0"/>
          <w:spacing w:val="0"/>
          <w:highlight w:val="none"/>
        </w:rPr>
      </w:pPr>
    </w:p>
    <w:p w14:paraId="2789A183">
      <w:pPr>
        <w:ind w:firstLine="0" w:firstLineChars="0"/>
        <w:jc w:val="center"/>
        <w:rPr>
          <w:rFonts w:hint="eastAsia" w:ascii="Times New Roman" w:hAnsi="Times New Roman" w:eastAsia="宋体" w:cs="宋体"/>
          <w:caps w:val="0"/>
          <w:spacing w:val="0"/>
          <w:sz w:val="72"/>
          <w:szCs w:val="72"/>
          <w:highlight w:val="none"/>
        </w:rPr>
      </w:pPr>
      <w:bookmarkStart w:id="0" w:name="_Toc70405719"/>
      <w:r>
        <w:rPr>
          <w:rFonts w:hint="eastAsia" w:ascii="Times New Roman" w:hAnsi="Times New Roman" w:eastAsia="宋体" w:cs="宋体"/>
          <w:caps w:val="0"/>
          <w:spacing w:val="0"/>
          <w:sz w:val="72"/>
          <w:szCs w:val="72"/>
          <w:highlight w:val="none"/>
        </w:rPr>
        <w:t>建设项目环境影响报告表</w:t>
      </w:r>
      <w:bookmarkEnd w:id="0"/>
    </w:p>
    <w:p w14:paraId="5E7C3EA8">
      <w:pPr>
        <w:spacing w:before="192" w:beforeLines="80"/>
        <w:ind w:firstLine="0" w:firstLineChars="0"/>
        <w:jc w:val="center"/>
        <w:rPr>
          <w:rFonts w:hint="eastAsia" w:ascii="Times New Roman" w:hAnsi="Times New Roman" w:eastAsia="宋体" w:cs="宋体"/>
          <w:caps w:val="0"/>
          <w:spacing w:val="0"/>
          <w:sz w:val="48"/>
          <w:szCs w:val="48"/>
          <w:highlight w:val="none"/>
        </w:rPr>
      </w:pPr>
      <w:r>
        <w:rPr>
          <w:rFonts w:hint="eastAsia" w:ascii="Times New Roman" w:hAnsi="Times New Roman" w:eastAsia="宋体" w:cs="宋体"/>
          <w:caps w:val="0"/>
          <w:spacing w:val="0"/>
          <w:sz w:val="48"/>
          <w:szCs w:val="48"/>
          <w:highlight w:val="none"/>
        </w:rPr>
        <w:t>（污染影响类）</w:t>
      </w:r>
    </w:p>
    <w:p w14:paraId="40B8D9EE">
      <w:pPr>
        <w:rPr>
          <w:rFonts w:hint="eastAsia" w:ascii="Times New Roman" w:hAnsi="Times New Roman" w:eastAsia="宋体" w:cs="宋体"/>
          <w:caps w:val="0"/>
          <w:spacing w:val="0"/>
          <w:kern w:val="44"/>
          <w:highlight w:val="none"/>
        </w:rPr>
      </w:pPr>
    </w:p>
    <w:p w14:paraId="51D6ADA5">
      <w:pPr>
        <w:rPr>
          <w:rFonts w:hint="eastAsia" w:ascii="Times New Roman" w:hAnsi="Times New Roman" w:eastAsia="宋体" w:cs="宋体"/>
          <w:caps w:val="0"/>
          <w:spacing w:val="0"/>
          <w:highlight w:val="none"/>
        </w:rPr>
      </w:pPr>
    </w:p>
    <w:p w14:paraId="51C7B4F7">
      <w:pPr>
        <w:rPr>
          <w:rFonts w:hint="eastAsia" w:ascii="Times New Roman" w:hAnsi="Times New Roman" w:eastAsia="宋体" w:cs="宋体"/>
          <w:caps w:val="0"/>
          <w:spacing w:val="0"/>
          <w:highlight w:val="none"/>
        </w:rPr>
      </w:pPr>
    </w:p>
    <w:p w14:paraId="61AF02B4">
      <w:pPr>
        <w:rPr>
          <w:rFonts w:hint="eastAsia" w:ascii="Times New Roman" w:hAnsi="Times New Roman" w:eastAsia="宋体" w:cs="宋体"/>
          <w:caps w:val="0"/>
          <w:spacing w:val="0"/>
          <w:highlight w:val="none"/>
        </w:rPr>
      </w:pPr>
    </w:p>
    <w:p w14:paraId="1EAE5143">
      <w:pPr>
        <w:rPr>
          <w:rFonts w:hint="eastAsia" w:ascii="Times New Roman" w:hAnsi="Times New Roman" w:eastAsia="宋体" w:cs="宋体"/>
          <w:caps w:val="0"/>
          <w:spacing w:val="0"/>
          <w:highlight w:val="none"/>
        </w:rPr>
      </w:pPr>
    </w:p>
    <w:p w14:paraId="3C8EE034">
      <w:pPr>
        <w:adjustRightInd/>
        <w:ind w:firstLine="0" w:firstLineChars="0"/>
        <w:jc w:val="left"/>
        <w:rPr>
          <w:rFonts w:hint="eastAsia" w:ascii="Times New Roman" w:hAnsi="Times New Roman" w:eastAsia="宋体" w:cs="宋体"/>
          <w:bCs w:val="0"/>
          <w:caps w:val="0"/>
          <w:spacing w:val="0"/>
          <w:sz w:val="32"/>
          <w:szCs w:val="32"/>
          <w:highlight w:val="none"/>
          <w:u w:val="single"/>
          <w:lang w:eastAsia="zh-CN"/>
        </w:rPr>
      </w:pPr>
      <w:r>
        <w:rPr>
          <w:rFonts w:hint="eastAsia" w:ascii="Times New Roman" w:hAnsi="Times New Roman" w:eastAsia="宋体" w:cs="宋体"/>
          <w:bCs w:val="0"/>
          <w:caps w:val="0"/>
          <w:spacing w:val="0"/>
          <w:sz w:val="32"/>
          <w:szCs w:val="32"/>
          <w:highlight w:val="none"/>
        </w:rPr>
        <w:t>项目名称：</w:t>
      </w:r>
      <w:r>
        <w:rPr>
          <w:rFonts w:hint="eastAsia" w:ascii="Times New Roman" w:hAnsi="Times New Roman" w:eastAsia="宋体" w:cs="宋体"/>
          <w:bCs w:val="0"/>
          <w:caps w:val="0"/>
          <w:spacing w:val="0"/>
          <w:sz w:val="32"/>
          <w:szCs w:val="32"/>
          <w:highlight w:val="none"/>
          <w:u w:val="single"/>
          <w:lang w:eastAsia="zh-CN"/>
        </w:rPr>
        <w:t>鸡西市燎盛新材料科技有限公司锅炉改造项目</w:t>
      </w:r>
    </w:p>
    <w:p w14:paraId="4030D6A4">
      <w:pPr>
        <w:adjustRightInd/>
        <w:ind w:firstLine="0" w:firstLineChars="0"/>
        <w:jc w:val="left"/>
        <w:rPr>
          <w:rFonts w:hint="eastAsia" w:ascii="Times New Roman" w:hAnsi="Times New Roman" w:eastAsia="宋体" w:cs="宋体"/>
          <w:b/>
          <w:bCs w:val="0"/>
          <w:caps w:val="0"/>
          <w:spacing w:val="0"/>
          <w:sz w:val="32"/>
          <w:szCs w:val="32"/>
          <w:highlight w:val="none"/>
          <w:u w:val="single"/>
          <w:lang w:eastAsia="zh-CN"/>
        </w:rPr>
      </w:pPr>
      <w:r>
        <w:rPr>
          <w:rFonts w:hint="eastAsia" w:ascii="Times New Roman" w:hAnsi="Times New Roman" w:eastAsia="宋体" w:cs="宋体"/>
          <w:bCs w:val="0"/>
          <w:caps w:val="0"/>
          <w:spacing w:val="0"/>
          <w:sz w:val="32"/>
          <w:szCs w:val="32"/>
          <w:highlight w:val="none"/>
        </w:rPr>
        <w:t>建设单位</w:t>
      </w:r>
      <w:r>
        <w:rPr>
          <w:rFonts w:hint="eastAsia" w:ascii="Times New Roman" w:hAnsi="Times New Roman" w:eastAsia="宋体" w:cs="宋体"/>
          <w:bCs w:val="0"/>
          <w:caps w:val="0"/>
          <w:spacing w:val="0"/>
          <w:sz w:val="32"/>
          <w:szCs w:val="32"/>
          <w:highlight w:val="none"/>
          <w:lang w:eastAsia="zh-CN"/>
        </w:rPr>
        <w:t>（</w:t>
      </w:r>
      <w:r>
        <w:rPr>
          <w:rFonts w:hint="eastAsia" w:ascii="Times New Roman" w:hAnsi="Times New Roman" w:eastAsia="宋体" w:cs="宋体"/>
          <w:bCs w:val="0"/>
          <w:caps w:val="0"/>
          <w:spacing w:val="0"/>
          <w:sz w:val="32"/>
          <w:szCs w:val="32"/>
          <w:highlight w:val="none"/>
          <w:lang w:val="en-US" w:eastAsia="zh-CN"/>
        </w:rPr>
        <w:t>盖章</w:t>
      </w:r>
      <w:r>
        <w:rPr>
          <w:rFonts w:hint="eastAsia" w:ascii="Times New Roman" w:hAnsi="Times New Roman" w:eastAsia="宋体" w:cs="宋体"/>
          <w:bCs w:val="0"/>
          <w:caps w:val="0"/>
          <w:spacing w:val="0"/>
          <w:sz w:val="32"/>
          <w:szCs w:val="32"/>
          <w:highlight w:val="none"/>
          <w:lang w:eastAsia="zh-CN"/>
        </w:rPr>
        <w:t>）</w:t>
      </w:r>
      <w:r>
        <w:rPr>
          <w:rFonts w:hint="eastAsia" w:ascii="Times New Roman" w:hAnsi="Times New Roman" w:eastAsia="宋体" w:cs="宋体"/>
          <w:bCs w:val="0"/>
          <w:caps w:val="0"/>
          <w:spacing w:val="0"/>
          <w:sz w:val="32"/>
          <w:szCs w:val="32"/>
          <w:highlight w:val="none"/>
        </w:rPr>
        <w:t>：</w:t>
      </w:r>
      <w:r>
        <w:rPr>
          <w:rFonts w:hint="eastAsia" w:ascii="Times New Roman" w:hAnsi="Times New Roman" w:eastAsia="宋体" w:cs="宋体"/>
          <w:b w:val="0"/>
          <w:bCs w:val="0"/>
          <w:caps w:val="0"/>
          <w:spacing w:val="0"/>
          <w:sz w:val="32"/>
          <w:szCs w:val="32"/>
          <w:highlight w:val="none"/>
          <w:u w:val="single"/>
          <w:lang w:eastAsia="zh-CN"/>
        </w:rPr>
        <w:t>鸡西市燎盛新材料科技有限公司</w:t>
      </w:r>
    </w:p>
    <w:p w14:paraId="5F7D7E22">
      <w:pPr>
        <w:adjustRightInd/>
        <w:ind w:firstLine="0" w:firstLineChars="0"/>
        <w:jc w:val="left"/>
        <w:rPr>
          <w:rFonts w:hint="eastAsia" w:ascii="Times New Roman" w:hAnsi="Times New Roman" w:eastAsia="宋体" w:cs="宋体"/>
          <w:bCs w:val="0"/>
          <w:caps w:val="0"/>
          <w:spacing w:val="0"/>
          <w:sz w:val="36"/>
          <w:szCs w:val="36"/>
          <w:highlight w:val="none"/>
          <w:u w:val="single"/>
        </w:rPr>
      </w:pPr>
      <w:r>
        <w:rPr>
          <w:rFonts w:hint="eastAsia" w:ascii="Times New Roman" w:hAnsi="Times New Roman" w:eastAsia="宋体" w:cs="宋体"/>
          <w:bCs w:val="0"/>
          <w:caps w:val="0"/>
          <w:spacing w:val="0"/>
          <w:sz w:val="32"/>
          <w:szCs w:val="32"/>
          <w:highlight w:val="none"/>
        </w:rPr>
        <w:t>编制日期</w:t>
      </w:r>
      <w:r>
        <w:rPr>
          <w:rFonts w:hint="eastAsia" w:ascii="Times New Roman" w:hAnsi="Times New Roman" w:eastAsia="宋体" w:cs="宋体"/>
          <w:b w:val="0"/>
          <w:bCs w:val="0"/>
          <w:caps w:val="0"/>
          <w:spacing w:val="0"/>
          <w:sz w:val="32"/>
          <w:szCs w:val="32"/>
          <w:highlight w:val="none"/>
        </w:rPr>
        <w:t>：</w:t>
      </w:r>
      <w:r>
        <w:rPr>
          <w:rFonts w:hint="eastAsia" w:ascii="Times New Roman" w:hAnsi="Times New Roman" w:eastAsia="宋体" w:cs="宋体"/>
          <w:b w:val="0"/>
          <w:bCs w:val="0"/>
          <w:caps w:val="0"/>
          <w:spacing w:val="0"/>
          <w:sz w:val="32"/>
          <w:szCs w:val="32"/>
          <w:highlight w:val="none"/>
          <w:u w:val="single"/>
        </w:rPr>
        <w:t>202</w:t>
      </w:r>
      <w:r>
        <w:rPr>
          <w:rFonts w:hint="eastAsia" w:ascii="Times New Roman" w:hAnsi="Times New Roman" w:eastAsia="宋体" w:cs="宋体"/>
          <w:b w:val="0"/>
          <w:bCs w:val="0"/>
          <w:caps w:val="0"/>
          <w:spacing w:val="0"/>
          <w:sz w:val="32"/>
          <w:szCs w:val="32"/>
          <w:highlight w:val="none"/>
          <w:u w:val="single"/>
          <w:lang w:val="en-US" w:eastAsia="zh-CN"/>
        </w:rPr>
        <w:t>5</w:t>
      </w:r>
      <w:r>
        <w:rPr>
          <w:rFonts w:hint="eastAsia" w:ascii="Times New Roman" w:hAnsi="Times New Roman" w:eastAsia="宋体" w:cs="宋体"/>
          <w:b w:val="0"/>
          <w:bCs w:val="0"/>
          <w:caps w:val="0"/>
          <w:spacing w:val="0"/>
          <w:sz w:val="32"/>
          <w:szCs w:val="32"/>
          <w:highlight w:val="none"/>
          <w:u w:val="single"/>
        </w:rPr>
        <w:t>年</w:t>
      </w:r>
      <w:r>
        <w:rPr>
          <w:rFonts w:hint="eastAsia" w:ascii="Times New Roman" w:hAnsi="Times New Roman" w:eastAsia="宋体" w:cs="宋体"/>
          <w:b w:val="0"/>
          <w:bCs w:val="0"/>
          <w:caps w:val="0"/>
          <w:spacing w:val="0"/>
          <w:sz w:val="32"/>
          <w:szCs w:val="32"/>
          <w:highlight w:val="none"/>
          <w:u w:val="single"/>
          <w:lang w:val="en-US" w:eastAsia="zh-CN"/>
        </w:rPr>
        <w:t>11</w:t>
      </w:r>
      <w:r>
        <w:rPr>
          <w:rFonts w:hint="eastAsia" w:ascii="Times New Roman" w:hAnsi="Times New Roman" w:eastAsia="宋体" w:cs="宋体"/>
          <w:b w:val="0"/>
          <w:bCs w:val="0"/>
          <w:caps w:val="0"/>
          <w:spacing w:val="0"/>
          <w:sz w:val="32"/>
          <w:szCs w:val="32"/>
          <w:highlight w:val="none"/>
          <w:u w:val="single"/>
        </w:rPr>
        <w:t>月</w:t>
      </w:r>
    </w:p>
    <w:p w14:paraId="4453E007">
      <w:pPr>
        <w:rPr>
          <w:rFonts w:hint="eastAsia" w:ascii="Times New Roman" w:hAnsi="Times New Roman" w:eastAsia="宋体" w:cs="宋体"/>
          <w:caps w:val="0"/>
          <w:spacing w:val="0"/>
          <w:highlight w:val="none"/>
        </w:rPr>
      </w:pPr>
      <w:bookmarkStart w:id="1" w:name="_Hlk57884087"/>
    </w:p>
    <w:p w14:paraId="5DC3C186">
      <w:pPr>
        <w:rPr>
          <w:rFonts w:hint="eastAsia" w:ascii="Times New Roman" w:hAnsi="Times New Roman" w:eastAsia="宋体" w:cs="宋体"/>
          <w:caps w:val="0"/>
          <w:spacing w:val="0"/>
          <w:highlight w:val="none"/>
        </w:rPr>
      </w:pPr>
    </w:p>
    <w:p w14:paraId="51773692">
      <w:pPr>
        <w:rPr>
          <w:rFonts w:hint="eastAsia" w:ascii="Times New Roman" w:hAnsi="Times New Roman" w:eastAsia="宋体" w:cs="宋体"/>
          <w:caps w:val="0"/>
          <w:spacing w:val="0"/>
          <w:highlight w:val="none"/>
        </w:rPr>
      </w:pPr>
    </w:p>
    <w:bookmarkEnd w:id="1"/>
    <w:p w14:paraId="60D0E945">
      <w:pPr>
        <w:tabs>
          <w:tab w:val="center" w:pos="4422"/>
        </w:tabs>
        <w:spacing w:line="288" w:lineRule="auto"/>
        <w:ind w:firstLine="0" w:firstLineChars="0"/>
        <w:jc w:val="left"/>
        <w:rPr>
          <w:rFonts w:hint="eastAsia" w:ascii="Times New Roman" w:hAnsi="Times New Roman" w:eastAsia="宋体" w:cs="宋体"/>
          <w:bCs w:val="0"/>
          <w:caps w:val="0"/>
          <w:spacing w:val="0"/>
          <w:sz w:val="36"/>
          <w:szCs w:val="36"/>
          <w:highlight w:val="none"/>
        </w:rPr>
      </w:pPr>
    </w:p>
    <w:p w14:paraId="42129E97">
      <w:pPr>
        <w:tabs>
          <w:tab w:val="center" w:pos="4422"/>
        </w:tabs>
        <w:spacing w:line="288" w:lineRule="auto"/>
        <w:ind w:firstLine="0" w:firstLineChars="0"/>
        <w:jc w:val="center"/>
        <w:rPr>
          <w:rFonts w:hint="eastAsia" w:ascii="Times New Roman" w:hAnsi="Times New Roman" w:eastAsia="宋体" w:cs="宋体"/>
          <w:caps w:val="0"/>
          <w:sz w:val="36"/>
          <w:szCs w:val="36"/>
          <w:highlight w:val="none"/>
          <w:lang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1077" w:gutter="0"/>
          <w:pgBorders w:offsetFrom="page">
            <w:top w:val="none" w:sz="0" w:space="0"/>
            <w:left w:val="none" w:sz="0" w:space="0"/>
            <w:bottom w:val="none" w:sz="0" w:space="0"/>
            <w:right w:val="none" w:sz="0" w:space="0"/>
          </w:pgBorders>
          <w:cols w:space="720" w:num="1"/>
          <w:docGrid w:linePitch="312" w:charSpace="0"/>
        </w:sectPr>
      </w:pPr>
      <w:r>
        <w:rPr>
          <w:rFonts w:ascii="Times New Roman" w:hAnsi="Times New Roman" w:eastAsia="宋体" w:cs="宋体"/>
          <w:caps w:val="0"/>
          <w:sz w:val="36"/>
          <w:szCs w:val="36"/>
          <w:highlight w:val="none"/>
        </w:rPr>
        <w:t>中华人民共和国生态环境部制</w:t>
      </w:r>
      <w:r>
        <w:rPr>
          <w:rFonts w:hint="eastAsia" w:ascii="Times New Roman" w:hAnsi="Times New Roman" w:eastAsia="宋体" w:cs="宋体"/>
          <w:caps w:val="0"/>
          <w:sz w:val="36"/>
          <w:szCs w:val="36"/>
          <w:highlight w:val="none"/>
          <w:lang w:eastAsia="zh-CN"/>
        </w:rPr>
        <w:drawing>
          <wp:inline distT="0" distB="0" distL="114300" distR="114300">
            <wp:extent cx="5274310" cy="7464425"/>
            <wp:effectExtent l="0" t="0" r="2540" b="3175"/>
            <wp:docPr id="40" name="图片 40" descr="燎盛---建设项目环境影响报告表(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燎盛---建设项目环境影响报告表(1)_02"/>
                    <pic:cNvPicPr>
                      <a:picLocks noChangeAspect="1"/>
                    </pic:cNvPicPr>
                  </pic:nvPicPr>
                  <pic:blipFill>
                    <a:blip r:embed="rId17"/>
                    <a:stretch>
                      <a:fillRect/>
                    </a:stretch>
                  </pic:blipFill>
                  <pic:spPr>
                    <a:xfrm>
                      <a:off x="0" y="0"/>
                      <a:ext cx="5274310" cy="7464425"/>
                    </a:xfrm>
                    <a:prstGeom prst="rect">
                      <a:avLst/>
                    </a:prstGeom>
                  </pic:spPr>
                </pic:pic>
              </a:graphicData>
            </a:graphic>
          </wp:inline>
        </w:drawing>
      </w:r>
    </w:p>
    <w:sdt>
      <w:sdtPr>
        <w:rPr>
          <w:rFonts w:ascii="Times New Roman" w:hAnsi="Times New Roman" w:eastAsia="宋体" w:cs="宋体"/>
          <w:bCs/>
          <w:caps w:val="0"/>
          <w:kern w:val="2"/>
          <w:sz w:val="21"/>
          <w:szCs w:val="24"/>
          <w:highlight w:val="none"/>
          <w:lang w:val="en-US" w:eastAsia="zh-CN" w:bidi="ar-SA"/>
        </w:rPr>
        <w:id w:val="147459214"/>
        <w15:color w:val="DBDBDB"/>
        <w:docPartObj>
          <w:docPartGallery w:val="Table of Contents"/>
          <w:docPartUnique/>
        </w:docPartObj>
      </w:sdtPr>
      <w:sdtEndPr>
        <w:rPr>
          <w:rFonts w:hint="eastAsia" w:ascii="Times New Roman" w:hAnsi="Times New Roman" w:eastAsia="宋体" w:cs="宋体"/>
          <w:bCs/>
          <w:caps w:val="0"/>
          <w:kern w:val="2"/>
          <w:sz w:val="24"/>
          <w:szCs w:val="24"/>
          <w:highlight w:val="none"/>
          <w:lang w:val="en-US" w:eastAsia="zh-CN" w:bidi="ar-SA"/>
        </w:rPr>
      </w:sdtEndPr>
      <w:sdtContent>
        <w:p w14:paraId="43376C84">
          <w:pPr>
            <w:spacing w:before="0" w:beforeLines="0" w:after="0" w:afterLines="0" w:line="240" w:lineRule="auto"/>
            <w:ind w:left="0" w:leftChars="0" w:right="0" w:rightChars="0" w:firstLine="0" w:firstLineChars="0"/>
            <w:jc w:val="center"/>
            <w:rPr>
              <w:rFonts w:ascii="Times New Roman" w:hAnsi="Times New Roman" w:eastAsia="宋体" w:cs="宋体"/>
              <w:caps w:val="0"/>
              <w:highlight w:val="none"/>
            </w:rPr>
          </w:pPr>
          <w:r>
            <w:rPr>
              <w:rFonts w:ascii="Times New Roman" w:hAnsi="Times New Roman" w:eastAsia="宋体" w:cs="宋体"/>
              <w:caps w:val="0"/>
              <w:sz w:val="28"/>
              <w:szCs w:val="36"/>
              <w:highlight w:val="none"/>
            </w:rPr>
            <w:t>目录</w:t>
          </w:r>
        </w:p>
        <w:p w14:paraId="6E8D4364">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TOC \o "1-1" \h \u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_Toc22821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caps w:val="0"/>
              <w:spacing w:val="0"/>
              <w:highlight w:val="none"/>
            </w:rPr>
            <w:t>一、建设项目基本情况</w:t>
          </w:r>
          <w:r>
            <w:rPr>
              <w:highlight w:val="none"/>
            </w:rPr>
            <w:tab/>
          </w:r>
          <w:r>
            <w:rPr>
              <w:highlight w:val="none"/>
            </w:rPr>
            <w:fldChar w:fldCharType="begin"/>
          </w:r>
          <w:r>
            <w:rPr>
              <w:highlight w:val="none"/>
            </w:rPr>
            <w:instrText xml:space="preserve"> PAGEREF _Toc22821 \h </w:instrText>
          </w:r>
          <w:r>
            <w:rPr>
              <w:highlight w:val="none"/>
            </w:rPr>
            <w:fldChar w:fldCharType="separate"/>
          </w:r>
          <w:r>
            <w:rPr>
              <w:highlight w:val="none"/>
            </w:rPr>
            <w:t>1</w:t>
          </w:r>
          <w:r>
            <w:rPr>
              <w:highlight w:val="none"/>
            </w:rPr>
            <w:fldChar w:fldCharType="end"/>
          </w:r>
          <w:r>
            <w:rPr>
              <w:rFonts w:hint="eastAsia" w:ascii="Times New Roman" w:hAnsi="Times New Roman" w:eastAsia="宋体" w:cs="宋体"/>
              <w:caps w:val="0"/>
              <w:highlight w:val="none"/>
              <w:lang w:val="en-US" w:eastAsia="zh-CN"/>
            </w:rPr>
            <w:fldChar w:fldCharType="end"/>
          </w:r>
        </w:p>
        <w:p w14:paraId="592DCB50">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_Toc14643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highlight w:val="none"/>
            </w:rPr>
            <w:t>二、建设项目工程分析</w:t>
          </w:r>
          <w:r>
            <w:rPr>
              <w:highlight w:val="none"/>
            </w:rPr>
            <w:tab/>
          </w:r>
          <w:r>
            <w:rPr>
              <w:highlight w:val="none"/>
            </w:rPr>
            <w:fldChar w:fldCharType="begin"/>
          </w:r>
          <w:r>
            <w:rPr>
              <w:highlight w:val="none"/>
            </w:rPr>
            <w:instrText xml:space="preserve"> PAGEREF _Toc14643 \h </w:instrText>
          </w:r>
          <w:r>
            <w:rPr>
              <w:highlight w:val="none"/>
            </w:rPr>
            <w:fldChar w:fldCharType="separate"/>
          </w:r>
          <w:r>
            <w:rPr>
              <w:highlight w:val="none"/>
            </w:rPr>
            <w:t>18</w:t>
          </w:r>
          <w:r>
            <w:rPr>
              <w:highlight w:val="none"/>
            </w:rPr>
            <w:fldChar w:fldCharType="end"/>
          </w:r>
          <w:r>
            <w:rPr>
              <w:rFonts w:hint="eastAsia" w:ascii="Times New Roman" w:hAnsi="Times New Roman" w:eastAsia="宋体" w:cs="宋体"/>
              <w:caps w:val="0"/>
              <w:highlight w:val="none"/>
              <w:lang w:val="en-US" w:eastAsia="zh-CN"/>
            </w:rPr>
            <w:fldChar w:fldCharType="end"/>
          </w:r>
        </w:p>
        <w:p w14:paraId="711F5A8E">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_Toc8217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highlight w:val="none"/>
            </w:rPr>
            <w:t>三、区域环境质量现状、环境保护目标及评价标准</w:t>
          </w:r>
          <w:r>
            <w:rPr>
              <w:highlight w:val="none"/>
            </w:rPr>
            <w:tab/>
          </w:r>
          <w:r>
            <w:rPr>
              <w:highlight w:val="none"/>
            </w:rPr>
            <w:fldChar w:fldCharType="begin"/>
          </w:r>
          <w:r>
            <w:rPr>
              <w:highlight w:val="none"/>
            </w:rPr>
            <w:instrText xml:space="preserve"> PAGEREF _Toc8217 \h </w:instrText>
          </w:r>
          <w:r>
            <w:rPr>
              <w:highlight w:val="none"/>
            </w:rPr>
            <w:fldChar w:fldCharType="separate"/>
          </w:r>
          <w:r>
            <w:rPr>
              <w:highlight w:val="none"/>
            </w:rPr>
            <w:t>33</w:t>
          </w:r>
          <w:r>
            <w:rPr>
              <w:highlight w:val="none"/>
            </w:rPr>
            <w:fldChar w:fldCharType="end"/>
          </w:r>
          <w:r>
            <w:rPr>
              <w:rFonts w:hint="eastAsia" w:ascii="Times New Roman" w:hAnsi="Times New Roman" w:eastAsia="宋体" w:cs="宋体"/>
              <w:caps w:val="0"/>
              <w:highlight w:val="none"/>
              <w:lang w:val="en-US" w:eastAsia="zh-CN"/>
            </w:rPr>
            <w:fldChar w:fldCharType="end"/>
          </w:r>
        </w:p>
        <w:p w14:paraId="0CEA3963">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_Toc5672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highlight w:val="none"/>
            </w:rPr>
            <w:t>四、主要环境影响和保护措施</w:t>
          </w:r>
          <w:r>
            <w:rPr>
              <w:highlight w:val="none"/>
            </w:rPr>
            <w:tab/>
          </w:r>
          <w:r>
            <w:rPr>
              <w:highlight w:val="none"/>
            </w:rPr>
            <w:fldChar w:fldCharType="begin"/>
          </w:r>
          <w:r>
            <w:rPr>
              <w:highlight w:val="none"/>
            </w:rPr>
            <w:instrText xml:space="preserve"> PAGEREF _Toc5672 \h </w:instrText>
          </w:r>
          <w:r>
            <w:rPr>
              <w:highlight w:val="none"/>
            </w:rPr>
            <w:fldChar w:fldCharType="separate"/>
          </w:r>
          <w:r>
            <w:rPr>
              <w:highlight w:val="none"/>
            </w:rPr>
            <w:t>39</w:t>
          </w:r>
          <w:r>
            <w:rPr>
              <w:highlight w:val="none"/>
            </w:rPr>
            <w:fldChar w:fldCharType="end"/>
          </w:r>
          <w:r>
            <w:rPr>
              <w:rFonts w:hint="eastAsia" w:ascii="Times New Roman" w:hAnsi="Times New Roman" w:eastAsia="宋体" w:cs="宋体"/>
              <w:caps w:val="0"/>
              <w:highlight w:val="none"/>
              <w:lang w:val="en-US" w:eastAsia="zh-CN"/>
            </w:rPr>
            <w:fldChar w:fldCharType="end"/>
          </w:r>
        </w:p>
        <w:p w14:paraId="47413C90">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_Toc13284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highlight w:val="none"/>
            </w:rPr>
            <w:t>五、环境保护措施监督检查清单</w:t>
          </w:r>
          <w:r>
            <w:rPr>
              <w:highlight w:val="none"/>
            </w:rPr>
            <w:tab/>
          </w:r>
          <w:r>
            <w:rPr>
              <w:highlight w:val="none"/>
            </w:rPr>
            <w:fldChar w:fldCharType="begin"/>
          </w:r>
          <w:r>
            <w:rPr>
              <w:highlight w:val="none"/>
            </w:rPr>
            <w:instrText xml:space="preserve"> PAGEREF _Toc13284 \h </w:instrText>
          </w:r>
          <w:r>
            <w:rPr>
              <w:highlight w:val="none"/>
            </w:rPr>
            <w:fldChar w:fldCharType="separate"/>
          </w:r>
          <w:r>
            <w:rPr>
              <w:highlight w:val="none"/>
            </w:rPr>
            <w:t>62</w:t>
          </w:r>
          <w:r>
            <w:rPr>
              <w:highlight w:val="none"/>
            </w:rPr>
            <w:fldChar w:fldCharType="end"/>
          </w:r>
          <w:r>
            <w:rPr>
              <w:rFonts w:hint="eastAsia" w:ascii="Times New Roman" w:hAnsi="Times New Roman" w:eastAsia="宋体" w:cs="宋体"/>
              <w:caps w:val="0"/>
              <w:highlight w:val="none"/>
              <w:lang w:val="en-US" w:eastAsia="zh-CN"/>
            </w:rPr>
            <w:fldChar w:fldCharType="end"/>
          </w:r>
        </w:p>
        <w:p w14:paraId="21F64FD3">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_Toc6759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highlight w:val="none"/>
            </w:rPr>
            <w:t>六、结论</w:t>
          </w:r>
          <w:r>
            <w:rPr>
              <w:highlight w:val="none"/>
            </w:rPr>
            <w:tab/>
          </w:r>
          <w:r>
            <w:rPr>
              <w:highlight w:val="none"/>
            </w:rPr>
            <w:fldChar w:fldCharType="begin"/>
          </w:r>
          <w:r>
            <w:rPr>
              <w:highlight w:val="none"/>
            </w:rPr>
            <w:instrText xml:space="preserve"> PAGEREF _Toc6759 \h </w:instrText>
          </w:r>
          <w:r>
            <w:rPr>
              <w:highlight w:val="none"/>
            </w:rPr>
            <w:fldChar w:fldCharType="separate"/>
          </w:r>
          <w:r>
            <w:rPr>
              <w:highlight w:val="none"/>
            </w:rPr>
            <w:t>66</w:t>
          </w:r>
          <w:r>
            <w:rPr>
              <w:highlight w:val="none"/>
            </w:rPr>
            <w:fldChar w:fldCharType="end"/>
          </w:r>
          <w:r>
            <w:rPr>
              <w:rFonts w:hint="eastAsia" w:ascii="Times New Roman" w:hAnsi="Times New Roman" w:eastAsia="宋体" w:cs="宋体"/>
              <w:caps w:val="0"/>
              <w:highlight w:val="none"/>
              <w:lang w:val="en-US" w:eastAsia="zh-CN"/>
            </w:rPr>
            <w:fldChar w:fldCharType="end"/>
          </w:r>
        </w:p>
        <w:p w14:paraId="610E5DD5">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_Toc10607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caps w:val="0"/>
              <w:spacing w:val="0"/>
              <w:highlight w:val="none"/>
            </w:rPr>
            <w:t>附表</w:t>
          </w:r>
          <w:r>
            <w:rPr>
              <w:highlight w:val="none"/>
            </w:rPr>
            <w:tab/>
          </w:r>
          <w:r>
            <w:rPr>
              <w:highlight w:val="none"/>
            </w:rPr>
            <w:fldChar w:fldCharType="begin"/>
          </w:r>
          <w:r>
            <w:rPr>
              <w:highlight w:val="none"/>
            </w:rPr>
            <w:instrText xml:space="preserve"> PAGEREF _Toc10607 \h </w:instrText>
          </w:r>
          <w:r>
            <w:rPr>
              <w:highlight w:val="none"/>
            </w:rPr>
            <w:fldChar w:fldCharType="separate"/>
          </w:r>
          <w:r>
            <w:rPr>
              <w:highlight w:val="none"/>
            </w:rPr>
            <w:t>67</w:t>
          </w:r>
          <w:r>
            <w:rPr>
              <w:highlight w:val="none"/>
            </w:rPr>
            <w:fldChar w:fldCharType="end"/>
          </w:r>
          <w:r>
            <w:rPr>
              <w:rFonts w:hint="eastAsia" w:ascii="Times New Roman" w:hAnsi="Times New Roman" w:eastAsia="宋体" w:cs="宋体"/>
              <w:caps w:val="0"/>
              <w:highlight w:val="none"/>
              <w:lang w:val="en-US" w:eastAsia="zh-CN"/>
            </w:rPr>
            <w:fldChar w:fldCharType="end"/>
          </w:r>
        </w:p>
        <w:p w14:paraId="7089748C">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_Toc28560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highlight w:val="none"/>
              <w:lang w:val="en-US" w:eastAsia="zh-CN"/>
            </w:rPr>
            <w:t>附图1 项目所在位置图</w:t>
          </w:r>
          <w:r>
            <w:rPr>
              <w:highlight w:val="none"/>
            </w:rPr>
            <w:tab/>
          </w:r>
          <w:r>
            <w:rPr>
              <w:highlight w:val="none"/>
            </w:rPr>
            <w:fldChar w:fldCharType="begin"/>
          </w:r>
          <w:r>
            <w:rPr>
              <w:highlight w:val="none"/>
            </w:rPr>
            <w:instrText xml:space="preserve"> PAGEREF _Toc28560 \h </w:instrText>
          </w:r>
          <w:r>
            <w:rPr>
              <w:highlight w:val="none"/>
            </w:rPr>
            <w:fldChar w:fldCharType="separate"/>
          </w:r>
          <w:r>
            <w:rPr>
              <w:highlight w:val="none"/>
            </w:rPr>
            <w:t>69</w:t>
          </w:r>
          <w:r>
            <w:rPr>
              <w:highlight w:val="none"/>
            </w:rPr>
            <w:fldChar w:fldCharType="end"/>
          </w:r>
          <w:r>
            <w:rPr>
              <w:rFonts w:hint="eastAsia" w:ascii="Times New Roman" w:hAnsi="Times New Roman" w:eastAsia="宋体" w:cs="宋体"/>
              <w:caps w:val="0"/>
              <w:highlight w:val="none"/>
              <w:lang w:val="en-US" w:eastAsia="zh-CN"/>
            </w:rPr>
            <w:fldChar w:fldCharType="end"/>
          </w:r>
        </w:p>
        <w:p w14:paraId="4E85A21C">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_Toc21168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caps w:val="0"/>
              <w:spacing w:val="0"/>
              <w:szCs w:val="24"/>
              <w:highlight w:val="none"/>
            </w:rPr>
            <w:t>附图</w:t>
          </w:r>
          <w:r>
            <w:rPr>
              <w:rFonts w:hint="eastAsia" w:ascii="Times New Roman" w:hAnsi="Times New Roman" w:eastAsia="宋体" w:cs="宋体"/>
              <w:bCs/>
              <w:caps w:val="0"/>
              <w:spacing w:val="0"/>
              <w:szCs w:val="24"/>
              <w:highlight w:val="none"/>
              <w:lang w:val="en-US" w:eastAsia="zh-CN"/>
            </w:rPr>
            <w:t>2</w:t>
          </w:r>
          <w:r>
            <w:rPr>
              <w:rFonts w:hint="eastAsia" w:ascii="Times New Roman" w:hAnsi="Times New Roman" w:eastAsia="宋体" w:cs="宋体"/>
              <w:bCs/>
              <w:caps w:val="0"/>
              <w:spacing w:val="0"/>
              <w:szCs w:val="24"/>
              <w:highlight w:val="none"/>
            </w:rPr>
            <w:t xml:space="preserve"> </w:t>
          </w:r>
          <w:r>
            <w:rPr>
              <w:rFonts w:hint="eastAsia" w:ascii="Times New Roman" w:hAnsi="Times New Roman" w:eastAsia="宋体" w:cs="宋体"/>
              <w:bCs/>
              <w:caps w:val="0"/>
              <w:spacing w:val="0"/>
              <w:szCs w:val="24"/>
              <w:highlight w:val="none"/>
              <w:lang w:val="en-US" w:eastAsia="zh-CN"/>
            </w:rPr>
            <w:t>厂区总</w:t>
          </w:r>
          <w:r>
            <w:rPr>
              <w:rFonts w:hint="eastAsia" w:ascii="Times New Roman" w:hAnsi="Times New Roman" w:eastAsia="宋体" w:cs="宋体"/>
              <w:bCs/>
              <w:caps w:val="0"/>
              <w:spacing w:val="0"/>
              <w:szCs w:val="24"/>
              <w:highlight w:val="none"/>
            </w:rPr>
            <w:t>平面布置图</w:t>
          </w:r>
          <w:r>
            <w:rPr>
              <w:highlight w:val="none"/>
            </w:rPr>
            <w:tab/>
          </w:r>
          <w:r>
            <w:rPr>
              <w:highlight w:val="none"/>
            </w:rPr>
            <w:fldChar w:fldCharType="begin"/>
          </w:r>
          <w:r>
            <w:rPr>
              <w:highlight w:val="none"/>
            </w:rPr>
            <w:instrText xml:space="preserve"> PAGEREF _Toc21168 \h </w:instrText>
          </w:r>
          <w:r>
            <w:rPr>
              <w:highlight w:val="none"/>
            </w:rPr>
            <w:fldChar w:fldCharType="separate"/>
          </w:r>
          <w:r>
            <w:rPr>
              <w:highlight w:val="none"/>
            </w:rPr>
            <w:t>70</w:t>
          </w:r>
          <w:r>
            <w:rPr>
              <w:highlight w:val="none"/>
            </w:rPr>
            <w:fldChar w:fldCharType="end"/>
          </w:r>
          <w:r>
            <w:rPr>
              <w:rFonts w:hint="eastAsia" w:ascii="Times New Roman" w:hAnsi="Times New Roman" w:eastAsia="宋体" w:cs="宋体"/>
              <w:caps w:val="0"/>
              <w:highlight w:val="none"/>
              <w:lang w:val="en-US" w:eastAsia="zh-CN"/>
            </w:rPr>
            <w:fldChar w:fldCharType="end"/>
          </w:r>
        </w:p>
        <w:p w14:paraId="35DD6136">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_Toc6969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highlight w:val="none"/>
              <w:lang w:val="en-US" w:eastAsia="zh-CN"/>
            </w:rPr>
            <w:t>附图3 本项目评价范围图</w:t>
          </w:r>
          <w:r>
            <w:rPr>
              <w:highlight w:val="none"/>
            </w:rPr>
            <w:tab/>
          </w:r>
          <w:r>
            <w:rPr>
              <w:highlight w:val="none"/>
            </w:rPr>
            <w:fldChar w:fldCharType="begin"/>
          </w:r>
          <w:r>
            <w:rPr>
              <w:highlight w:val="none"/>
            </w:rPr>
            <w:instrText xml:space="preserve"> PAGEREF _Toc6969 \h </w:instrText>
          </w:r>
          <w:r>
            <w:rPr>
              <w:highlight w:val="none"/>
            </w:rPr>
            <w:fldChar w:fldCharType="separate"/>
          </w:r>
          <w:r>
            <w:rPr>
              <w:highlight w:val="none"/>
            </w:rPr>
            <w:t>71</w:t>
          </w:r>
          <w:r>
            <w:rPr>
              <w:highlight w:val="none"/>
            </w:rPr>
            <w:fldChar w:fldCharType="end"/>
          </w:r>
          <w:r>
            <w:rPr>
              <w:rFonts w:hint="eastAsia" w:ascii="Times New Roman" w:hAnsi="Times New Roman" w:eastAsia="宋体" w:cs="宋体"/>
              <w:caps w:val="0"/>
              <w:highlight w:val="none"/>
              <w:lang w:val="en-US" w:eastAsia="zh-CN"/>
            </w:rPr>
            <w:fldChar w:fldCharType="end"/>
          </w:r>
        </w:p>
        <w:p w14:paraId="3BB9B720">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_Toc29841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zCs w:val="18"/>
              <w:highlight w:val="none"/>
              <w:lang w:val="en-US" w:eastAsia="zh-CN"/>
            </w:rPr>
            <w:t>附图4 环境管控单元分布图</w:t>
          </w:r>
          <w:r>
            <w:rPr>
              <w:highlight w:val="none"/>
            </w:rPr>
            <w:tab/>
          </w:r>
          <w:r>
            <w:rPr>
              <w:highlight w:val="none"/>
            </w:rPr>
            <w:fldChar w:fldCharType="begin"/>
          </w:r>
          <w:r>
            <w:rPr>
              <w:highlight w:val="none"/>
            </w:rPr>
            <w:instrText xml:space="preserve"> PAGEREF _Toc29841 \h </w:instrText>
          </w:r>
          <w:r>
            <w:rPr>
              <w:highlight w:val="none"/>
            </w:rPr>
            <w:fldChar w:fldCharType="separate"/>
          </w:r>
          <w:r>
            <w:rPr>
              <w:highlight w:val="none"/>
            </w:rPr>
            <w:t>72</w:t>
          </w:r>
          <w:r>
            <w:rPr>
              <w:highlight w:val="none"/>
            </w:rPr>
            <w:fldChar w:fldCharType="end"/>
          </w:r>
          <w:r>
            <w:rPr>
              <w:rFonts w:hint="eastAsia" w:ascii="Times New Roman" w:hAnsi="Times New Roman" w:eastAsia="宋体" w:cs="宋体"/>
              <w:caps w:val="0"/>
              <w:highlight w:val="none"/>
              <w:lang w:val="en-US" w:eastAsia="zh-CN"/>
            </w:rPr>
            <w:fldChar w:fldCharType="end"/>
          </w:r>
        </w:p>
        <w:p w14:paraId="7BA15196">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_Toc30118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caps w:val="0"/>
              <w:highlight w:val="none"/>
              <w:lang w:val="en-US" w:eastAsia="zh-CN"/>
            </w:rPr>
            <w:t>附图5 本项目分区防渗图</w:t>
          </w:r>
          <w:r>
            <w:rPr>
              <w:highlight w:val="none"/>
            </w:rPr>
            <w:tab/>
          </w:r>
          <w:r>
            <w:rPr>
              <w:highlight w:val="none"/>
            </w:rPr>
            <w:fldChar w:fldCharType="begin"/>
          </w:r>
          <w:r>
            <w:rPr>
              <w:highlight w:val="none"/>
            </w:rPr>
            <w:instrText xml:space="preserve"> PAGEREF _Toc30118 \h </w:instrText>
          </w:r>
          <w:r>
            <w:rPr>
              <w:highlight w:val="none"/>
            </w:rPr>
            <w:fldChar w:fldCharType="separate"/>
          </w:r>
          <w:r>
            <w:rPr>
              <w:highlight w:val="none"/>
            </w:rPr>
            <w:t>73</w:t>
          </w:r>
          <w:r>
            <w:rPr>
              <w:highlight w:val="none"/>
            </w:rPr>
            <w:fldChar w:fldCharType="end"/>
          </w:r>
          <w:r>
            <w:rPr>
              <w:rFonts w:hint="eastAsia" w:ascii="Times New Roman" w:hAnsi="Times New Roman" w:eastAsia="宋体" w:cs="宋体"/>
              <w:caps w:val="0"/>
              <w:highlight w:val="none"/>
              <w:lang w:val="en-US" w:eastAsia="zh-CN"/>
            </w:rPr>
            <w:fldChar w:fldCharType="end"/>
          </w:r>
        </w:p>
        <w:p w14:paraId="34E74C3F">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_Toc6461 </w:instrText>
          </w:r>
          <w:r>
            <w:rPr>
              <w:rFonts w:hint="eastAsia" w:ascii="Times New Roman" w:hAnsi="Times New Roman" w:eastAsia="宋体" w:cs="宋体"/>
              <w:caps w:val="0"/>
              <w:highlight w:val="none"/>
              <w:lang w:val="en-US" w:eastAsia="zh-CN"/>
            </w:rPr>
            <w:fldChar w:fldCharType="separate"/>
          </w:r>
          <w:r>
            <w:rPr>
              <w:rFonts w:hint="eastAsia"/>
              <w:bCs w:val="0"/>
              <w:highlight w:val="none"/>
              <w:lang w:val="en-US" w:eastAsia="zh-CN"/>
            </w:rPr>
            <w:t>附图6 公示截图</w:t>
          </w:r>
          <w:r>
            <w:rPr>
              <w:highlight w:val="none"/>
            </w:rPr>
            <w:tab/>
          </w:r>
          <w:r>
            <w:rPr>
              <w:highlight w:val="none"/>
            </w:rPr>
            <w:fldChar w:fldCharType="begin"/>
          </w:r>
          <w:r>
            <w:rPr>
              <w:highlight w:val="none"/>
            </w:rPr>
            <w:instrText xml:space="preserve"> PAGEREF _Toc6461 \h </w:instrText>
          </w:r>
          <w:r>
            <w:rPr>
              <w:highlight w:val="none"/>
            </w:rPr>
            <w:fldChar w:fldCharType="separate"/>
          </w:r>
          <w:r>
            <w:rPr>
              <w:highlight w:val="none"/>
            </w:rPr>
            <w:t>74</w:t>
          </w:r>
          <w:r>
            <w:rPr>
              <w:highlight w:val="none"/>
            </w:rPr>
            <w:fldChar w:fldCharType="end"/>
          </w:r>
          <w:r>
            <w:rPr>
              <w:rFonts w:hint="eastAsia" w:ascii="Times New Roman" w:hAnsi="Times New Roman" w:eastAsia="宋体" w:cs="宋体"/>
              <w:caps w:val="0"/>
              <w:highlight w:val="none"/>
              <w:lang w:val="en-US" w:eastAsia="zh-CN"/>
            </w:rPr>
            <w:fldChar w:fldCharType="end"/>
          </w:r>
        </w:p>
        <w:p w14:paraId="4C2C1F47">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_Toc3940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highlight w:val="none"/>
              <w:lang w:val="en-US" w:eastAsia="zh-CN"/>
            </w:rPr>
            <w:t>附件1 营业执照</w:t>
          </w:r>
          <w:r>
            <w:rPr>
              <w:highlight w:val="none"/>
            </w:rPr>
            <w:tab/>
          </w:r>
          <w:r>
            <w:rPr>
              <w:highlight w:val="none"/>
            </w:rPr>
            <w:fldChar w:fldCharType="begin"/>
          </w:r>
          <w:r>
            <w:rPr>
              <w:highlight w:val="none"/>
            </w:rPr>
            <w:instrText xml:space="preserve"> PAGEREF _Toc3940 \h </w:instrText>
          </w:r>
          <w:r>
            <w:rPr>
              <w:highlight w:val="none"/>
            </w:rPr>
            <w:fldChar w:fldCharType="separate"/>
          </w:r>
          <w:r>
            <w:rPr>
              <w:highlight w:val="none"/>
            </w:rPr>
            <w:t>75</w:t>
          </w:r>
          <w:r>
            <w:rPr>
              <w:highlight w:val="none"/>
            </w:rPr>
            <w:fldChar w:fldCharType="end"/>
          </w:r>
          <w:r>
            <w:rPr>
              <w:rFonts w:hint="eastAsia" w:ascii="Times New Roman" w:hAnsi="Times New Roman" w:eastAsia="宋体" w:cs="宋体"/>
              <w:caps w:val="0"/>
              <w:highlight w:val="none"/>
              <w:lang w:val="en-US" w:eastAsia="zh-CN"/>
            </w:rPr>
            <w:fldChar w:fldCharType="end"/>
          </w:r>
        </w:p>
        <w:p w14:paraId="56695E81">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_Toc18907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highlight w:val="none"/>
              <w:lang w:val="en-US" w:eastAsia="zh-CN"/>
            </w:rPr>
            <w:t>附件2 关于梨树区石墨筛分烘干建设项目环境影响报告表的批复</w:t>
          </w:r>
          <w:r>
            <w:rPr>
              <w:highlight w:val="none"/>
            </w:rPr>
            <w:tab/>
          </w:r>
          <w:r>
            <w:rPr>
              <w:highlight w:val="none"/>
            </w:rPr>
            <w:fldChar w:fldCharType="begin"/>
          </w:r>
          <w:r>
            <w:rPr>
              <w:highlight w:val="none"/>
            </w:rPr>
            <w:instrText xml:space="preserve"> PAGEREF _Toc18907 \h </w:instrText>
          </w:r>
          <w:r>
            <w:rPr>
              <w:highlight w:val="none"/>
            </w:rPr>
            <w:fldChar w:fldCharType="separate"/>
          </w:r>
          <w:r>
            <w:rPr>
              <w:highlight w:val="none"/>
            </w:rPr>
            <w:t>76</w:t>
          </w:r>
          <w:r>
            <w:rPr>
              <w:highlight w:val="none"/>
            </w:rPr>
            <w:fldChar w:fldCharType="end"/>
          </w:r>
          <w:r>
            <w:rPr>
              <w:rFonts w:hint="eastAsia" w:ascii="Times New Roman" w:hAnsi="Times New Roman" w:eastAsia="宋体" w:cs="宋体"/>
              <w:caps w:val="0"/>
              <w:highlight w:val="none"/>
              <w:lang w:val="en-US" w:eastAsia="zh-CN"/>
            </w:rPr>
            <w:fldChar w:fldCharType="end"/>
          </w:r>
        </w:p>
        <w:p w14:paraId="6C552547">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_Toc17572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szCs w:val="28"/>
              <w:highlight w:val="none"/>
              <w:lang w:val="en-US" w:eastAsia="zh-CN"/>
            </w:rPr>
            <w:t>附件3 鸡西市燎盛新材料科技有限公司梨树区石</w:t>
          </w:r>
          <w:r>
            <w:rPr>
              <w:rFonts w:hint="eastAsia" w:cs="宋体"/>
              <w:bCs w:val="0"/>
              <w:caps w:val="0"/>
              <w:spacing w:val="0"/>
              <w:szCs w:val="28"/>
              <w:highlight w:val="none"/>
              <w:lang w:val="en-US" w:eastAsia="zh-CN"/>
            </w:rPr>
            <w:t>墨筛</w:t>
          </w:r>
          <w:r>
            <w:rPr>
              <w:rFonts w:hint="eastAsia" w:ascii="Times New Roman" w:hAnsi="Times New Roman" w:eastAsia="宋体" w:cs="宋体"/>
              <w:bCs w:val="0"/>
              <w:caps w:val="0"/>
              <w:spacing w:val="0"/>
              <w:szCs w:val="28"/>
              <w:highlight w:val="none"/>
              <w:lang w:val="en-US" w:eastAsia="zh-CN"/>
            </w:rPr>
            <w:t>分烘干项目竣工环境保护验收意见</w:t>
          </w:r>
          <w:r>
            <w:rPr>
              <w:highlight w:val="none"/>
            </w:rPr>
            <w:tab/>
          </w:r>
          <w:r>
            <w:rPr>
              <w:highlight w:val="none"/>
            </w:rPr>
            <w:fldChar w:fldCharType="begin"/>
          </w:r>
          <w:r>
            <w:rPr>
              <w:highlight w:val="none"/>
            </w:rPr>
            <w:instrText xml:space="preserve"> PAGEREF _Toc17572 \h </w:instrText>
          </w:r>
          <w:r>
            <w:rPr>
              <w:highlight w:val="none"/>
            </w:rPr>
            <w:fldChar w:fldCharType="separate"/>
          </w:r>
          <w:r>
            <w:rPr>
              <w:highlight w:val="none"/>
            </w:rPr>
            <w:t>79</w:t>
          </w:r>
          <w:r>
            <w:rPr>
              <w:highlight w:val="none"/>
            </w:rPr>
            <w:fldChar w:fldCharType="end"/>
          </w:r>
          <w:r>
            <w:rPr>
              <w:rFonts w:hint="eastAsia" w:ascii="Times New Roman" w:hAnsi="Times New Roman" w:eastAsia="宋体" w:cs="宋体"/>
              <w:caps w:val="0"/>
              <w:highlight w:val="none"/>
              <w:lang w:val="en-US" w:eastAsia="zh-CN"/>
            </w:rPr>
            <w:fldChar w:fldCharType="end"/>
          </w:r>
        </w:p>
        <w:p w14:paraId="128A81BE">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_Toc4847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pacing w:val="0"/>
              <w:szCs w:val="24"/>
              <w:highlight w:val="none"/>
              <w:lang w:val="en-US" w:eastAsia="zh-CN"/>
            </w:rPr>
            <w:t>附件4现有工程排污许可证</w:t>
          </w:r>
          <w:r>
            <w:rPr>
              <w:highlight w:val="none"/>
            </w:rPr>
            <w:tab/>
          </w:r>
          <w:r>
            <w:rPr>
              <w:highlight w:val="none"/>
            </w:rPr>
            <w:fldChar w:fldCharType="begin"/>
          </w:r>
          <w:r>
            <w:rPr>
              <w:highlight w:val="none"/>
            </w:rPr>
            <w:instrText xml:space="preserve"> PAGEREF _Toc4847 \h </w:instrText>
          </w:r>
          <w:r>
            <w:rPr>
              <w:highlight w:val="none"/>
            </w:rPr>
            <w:fldChar w:fldCharType="separate"/>
          </w:r>
          <w:r>
            <w:rPr>
              <w:highlight w:val="none"/>
            </w:rPr>
            <w:t>83</w:t>
          </w:r>
          <w:r>
            <w:rPr>
              <w:highlight w:val="none"/>
            </w:rPr>
            <w:fldChar w:fldCharType="end"/>
          </w:r>
          <w:r>
            <w:rPr>
              <w:rFonts w:hint="eastAsia" w:ascii="Times New Roman" w:hAnsi="Times New Roman" w:eastAsia="宋体" w:cs="宋体"/>
              <w:caps w:val="0"/>
              <w:highlight w:val="none"/>
              <w:lang w:val="en-US" w:eastAsia="zh-CN"/>
            </w:rPr>
            <w:fldChar w:fldCharType="end"/>
          </w:r>
        </w:p>
        <w:p w14:paraId="2F90AFAF">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_Toc29832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highlight w:val="none"/>
              <w:lang w:val="en-US" w:eastAsia="zh-CN"/>
            </w:rPr>
            <w:t>附件5 现有工程废气监测报告</w:t>
          </w:r>
          <w:r>
            <w:rPr>
              <w:highlight w:val="none"/>
            </w:rPr>
            <w:tab/>
          </w:r>
          <w:r>
            <w:rPr>
              <w:highlight w:val="none"/>
            </w:rPr>
            <w:fldChar w:fldCharType="begin"/>
          </w:r>
          <w:r>
            <w:rPr>
              <w:highlight w:val="none"/>
            </w:rPr>
            <w:instrText xml:space="preserve"> PAGEREF _Toc29832 \h </w:instrText>
          </w:r>
          <w:r>
            <w:rPr>
              <w:highlight w:val="none"/>
            </w:rPr>
            <w:fldChar w:fldCharType="separate"/>
          </w:r>
          <w:r>
            <w:rPr>
              <w:highlight w:val="none"/>
            </w:rPr>
            <w:t>84</w:t>
          </w:r>
          <w:r>
            <w:rPr>
              <w:highlight w:val="none"/>
            </w:rPr>
            <w:fldChar w:fldCharType="end"/>
          </w:r>
          <w:r>
            <w:rPr>
              <w:rFonts w:hint="eastAsia" w:ascii="Times New Roman" w:hAnsi="Times New Roman" w:eastAsia="宋体" w:cs="宋体"/>
              <w:caps w:val="0"/>
              <w:highlight w:val="none"/>
              <w:lang w:val="en-US" w:eastAsia="zh-CN"/>
            </w:rPr>
            <w:fldChar w:fldCharType="end"/>
          </w:r>
        </w:p>
        <w:p w14:paraId="6BAE96F9">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_Toc4352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val="0"/>
              <w:caps w:val="0"/>
              <w:szCs w:val="18"/>
              <w:highlight w:val="none"/>
              <w:lang w:val="en-US" w:eastAsia="zh-CN"/>
            </w:rPr>
            <w:t>附件6租赁协议</w:t>
          </w:r>
          <w:r>
            <w:rPr>
              <w:highlight w:val="none"/>
            </w:rPr>
            <w:tab/>
          </w:r>
          <w:r>
            <w:rPr>
              <w:highlight w:val="none"/>
            </w:rPr>
            <w:fldChar w:fldCharType="begin"/>
          </w:r>
          <w:r>
            <w:rPr>
              <w:highlight w:val="none"/>
            </w:rPr>
            <w:instrText xml:space="preserve"> PAGEREF _Toc4352 \h </w:instrText>
          </w:r>
          <w:r>
            <w:rPr>
              <w:highlight w:val="none"/>
            </w:rPr>
            <w:fldChar w:fldCharType="separate"/>
          </w:r>
          <w:r>
            <w:rPr>
              <w:highlight w:val="none"/>
            </w:rPr>
            <w:t>92</w:t>
          </w:r>
          <w:r>
            <w:rPr>
              <w:highlight w:val="none"/>
            </w:rPr>
            <w:fldChar w:fldCharType="end"/>
          </w:r>
          <w:r>
            <w:rPr>
              <w:rFonts w:hint="eastAsia" w:ascii="Times New Roman" w:hAnsi="Times New Roman" w:eastAsia="宋体" w:cs="宋体"/>
              <w:caps w:val="0"/>
              <w:highlight w:val="none"/>
              <w:lang w:val="en-US" w:eastAsia="zh-CN"/>
            </w:rPr>
            <w:fldChar w:fldCharType="end"/>
          </w:r>
        </w:p>
        <w:p w14:paraId="2781FDC1">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_Toc17344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caps w:val="0"/>
              <w:spacing w:val="0"/>
              <w:szCs w:val="24"/>
              <w:highlight w:val="none"/>
            </w:rPr>
            <w:t>附件</w:t>
          </w:r>
          <w:r>
            <w:rPr>
              <w:rFonts w:hint="eastAsia" w:ascii="Times New Roman" w:hAnsi="Times New Roman" w:eastAsia="宋体" w:cs="宋体"/>
              <w:bCs/>
              <w:caps w:val="0"/>
              <w:spacing w:val="0"/>
              <w:szCs w:val="24"/>
              <w:highlight w:val="none"/>
              <w:lang w:val="en-US" w:eastAsia="zh-CN"/>
            </w:rPr>
            <w:t>6总量计算说明</w:t>
          </w:r>
          <w:r>
            <w:rPr>
              <w:highlight w:val="none"/>
            </w:rPr>
            <w:tab/>
          </w:r>
          <w:r>
            <w:rPr>
              <w:highlight w:val="none"/>
            </w:rPr>
            <w:fldChar w:fldCharType="begin"/>
          </w:r>
          <w:r>
            <w:rPr>
              <w:highlight w:val="none"/>
            </w:rPr>
            <w:instrText xml:space="preserve"> PAGEREF _Toc17344 \h </w:instrText>
          </w:r>
          <w:r>
            <w:rPr>
              <w:highlight w:val="none"/>
            </w:rPr>
            <w:fldChar w:fldCharType="separate"/>
          </w:r>
          <w:r>
            <w:rPr>
              <w:highlight w:val="none"/>
            </w:rPr>
            <w:t>95</w:t>
          </w:r>
          <w:r>
            <w:rPr>
              <w:highlight w:val="none"/>
            </w:rPr>
            <w:fldChar w:fldCharType="end"/>
          </w:r>
          <w:r>
            <w:rPr>
              <w:rFonts w:hint="eastAsia" w:ascii="Times New Roman" w:hAnsi="Times New Roman" w:eastAsia="宋体" w:cs="宋体"/>
              <w:caps w:val="0"/>
              <w:highlight w:val="none"/>
              <w:lang w:val="en-US" w:eastAsia="zh-CN"/>
            </w:rPr>
            <w:fldChar w:fldCharType="end"/>
          </w:r>
        </w:p>
        <w:p w14:paraId="5FBC9FD9">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_Toc28469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caps w:val="0"/>
              <w:highlight w:val="none"/>
              <w:lang w:val="en-US" w:eastAsia="zh-CN"/>
            </w:rPr>
            <w:t>附件7 生态环境分区管控分析报告</w:t>
          </w:r>
          <w:r>
            <w:rPr>
              <w:highlight w:val="none"/>
            </w:rPr>
            <w:tab/>
          </w:r>
          <w:r>
            <w:rPr>
              <w:highlight w:val="none"/>
            </w:rPr>
            <w:fldChar w:fldCharType="begin"/>
          </w:r>
          <w:r>
            <w:rPr>
              <w:highlight w:val="none"/>
            </w:rPr>
            <w:instrText xml:space="preserve"> PAGEREF _Toc28469 \h </w:instrText>
          </w:r>
          <w:r>
            <w:rPr>
              <w:highlight w:val="none"/>
            </w:rPr>
            <w:fldChar w:fldCharType="separate"/>
          </w:r>
          <w:r>
            <w:rPr>
              <w:highlight w:val="none"/>
            </w:rPr>
            <w:t>96</w:t>
          </w:r>
          <w:r>
            <w:rPr>
              <w:highlight w:val="none"/>
            </w:rPr>
            <w:fldChar w:fldCharType="end"/>
          </w:r>
          <w:r>
            <w:rPr>
              <w:rFonts w:hint="eastAsia" w:ascii="Times New Roman" w:hAnsi="Times New Roman" w:eastAsia="宋体" w:cs="宋体"/>
              <w:caps w:val="0"/>
              <w:highlight w:val="none"/>
              <w:lang w:val="en-US" w:eastAsia="zh-CN"/>
            </w:rPr>
            <w:fldChar w:fldCharType="end"/>
          </w:r>
        </w:p>
        <w:p w14:paraId="391CB7E4">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_Toc19754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eastAsia="宋体" w:cs="宋体"/>
              <w:bCs/>
              <w:caps w:val="0"/>
              <w:highlight w:val="none"/>
              <w:lang w:val="en-US" w:eastAsia="zh-CN"/>
            </w:rPr>
            <w:t>附件8 厂界噪声监测报告</w:t>
          </w:r>
          <w:r>
            <w:rPr>
              <w:highlight w:val="none"/>
            </w:rPr>
            <w:tab/>
          </w:r>
          <w:r>
            <w:rPr>
              <w:highlight w:val="none"/>
            </w:rPr>
            <w:fldChar w:fldCharType="begin"/>
          </w:r>
          <w:r>
            <w:rPr>
              <w:highlight w:val="none"/>
            </w:rPr>
            <w:instrText xml:space="preserve"> PAGEREF _Toc19754 \h </w:instrText>
          </w:r>
          <w:r>
            <w:rPr>
              <w:highlight w:val="none"/>
            </w:rPr>
            <w:fldChar w:fldCharType="separate"/>
          </w:r>
          <w:r>
            <w:rPr>
              <w:highlight w:val="none"/>
            </w:rPr>
            <w:t>106</w:t>
          </w:r>
          <w:r>
            <w:rPr>
              <w:highlight w:val="none"/>
            </w:rPr>
            <w:fldChar w:fldCharType="end"/>
          </w:r>
          <w:r>
            <w:rPr>
              <w:rFonts w:hint="eastAsia" w:ascii="Times New Roman" w:hAnsi="Times New Roman" w:eastAsia="宋体" w:cs="宋体"/>
              <w:caps w:val="0"/>
              <w:highlight w:val="none"/>
              <w:lang w:val="en-US" w:eastAsia="zh-CN"/>
            </w:rPr>
            <w:fldChar w:fldCharType="end"/>
          </w:r>
        </w:p>
        <w:p w14:paraId="16BBAA6C">
          <w:pPr>
            <w:pStyle w:val="23"/>
            <w:tabs>
              <w:tab w:val="right" w:leader="dot" w:pos="8306"/>
            </w:tabs>
            <w:rPr>
              <w:highlight w:val="none"/>
            </w:rPr>
          </w:pPr>
          <w:r>
            <w:rPr>
              <w:rFonts w:hint="eastAsia" w:ascii="Times New Roman" w:hAnsi="Times New Roman" w:eastAsia="宋体" w:cs="宋体"/>
              <w:caps w:val="0"/>
              <w:highlight w:val="none"/>
              <w:lang w:val="en-US" w:eastAsia="zh-CN"/>
            </w:rPr>
            <w:fldChar w:fldCharType="begin"/>
          </w:r>
          <w:r>
            <w:rPr>
              <w:rFonts w:hint="eastAsia" w:ascii="Times New Roman" w:hAnsi="Times New Roman" w:eastAsia="宋体" w:cs="宋体"/>
              <w:caps w:val="0"/>
              <w:highlight w:val="none"/>
              <w:lang w:val="en-US" w:eastAsia="zh-CN"/>
            </w:rPr>
            <w:instrText xml:space="preserve"> HYPERLINK \l _Toc20479 </w:instrText>
          </w:r>
          <w:r>
            <w:rPr>
              <w:rFonts w:hint="eastAsia" w:ascii="Times New Roman" w:hAnsi="Times New Roman" w:eastAsia="宋体" w:cs="宋体"/>
              <w:caps w:val="0"/>
              <w:highlight w:val="none"/>
              <w:lang w:val="en-US" w:eastAsia="zh-CN"/>
            </w:rPr>
            <w:fldChar w:fldCharType="separate"/>
          </w:r>
          <w:r>
            <w:rPr>
              <w:rFonts w:hint="eastAsia" w:ascii="Times New Roman" w:hAnsi="Times New Roman" w:cs="宋体"/>
              <w:bCs w:val="0"/>
              <w:caps w:val="0"/>
              <w:highlight w:val="none"/>
              <w:lang w:val="en-US" w:eastAsia="zh-CN"/>
            </w:rPr>
            <w:t>附件9 集中供热缴费证明</w:t>
          </w:r>
          <w:r>
            <w:rPr>
              <w:highlight w:val="none"/>
            </w:rPr>
            <w:tab/>
          </w:r>
          <w:r>
            <w:rPr>
              <w:highlight w:val="none"/>
            </w:rPr>
            <w:fldChar w:fldCharType="begin"/>
          </w:r>
          <w:r>
            <w:rPr>
              <w:highlight w:val="none"/>
            </w:rPr>
            <w:instrText xml:space="preserve"> PAGEREF _Toc20479 \h </w:instrText>
          </w:r>
          <w:r>
            <w:rPr>
              <w:highlight w:val="none"/>
            </w:rPr>
            <w:fldChar w:fldCharType="separate"/>
          </w:r>
          <w:r>
            <w:rPr>
              <w:highlight w:val="none"/>
            </w:rPr>
            <w:t>110</w:t>
          </w:r>
          <w:r>
            <w:rPr>
              <w:highlight w:val="none"/>
            </w:rPr>
            <w:fldChar w:fldCharType="end"/>
          </w:r>
          <w:r>
            <w:rPr>
              <w:rFonts w:hint="eastAsia" w:ascii="Times New Roman" w:hAnsi="Times New Roman" w:eastAsia="宋体" w:cs="宋体"/>
              <w:caps w:val="0"/>
              <w:highlight w:val="none"/>
              <w:lang w:val="en-US" w:eastAsia="zh-CN"/>
            </w:rPr>
            <w:fldChar w:fldCharType="end"/>
          </w:r>
        </w:p>
        <w:p w14:paraId="5143CFA4">
          <w:pPr>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宋体"/>
              <w:bCs/>
              <w:caps w:val="0"/>
              <w:kern w:val="2"/>
              <w:sz w:val="24"/>
              <w:szCs w:val="24"/>
              <w:highlight w:val="none"/>
              <w:lang w:val="en-US" w:eastAsia="zh-CN" w:bidi="ar-SA"/>
            </w:rPr>
          </w:pPr>
          <w:r>
            <w:rPr>
              <w:rFonts w:hint="eastAsia" w:ascii="Times New Roman" w:hAnsi="Times New Roman" w:eastAsia="宋体" w:cs="宋体"/>
              <w:caps w:val="0"/>
              <w:highlight w:val="none"/>
              <w:lang w:val="en-US" w:eastAsia="zh-CN"/>
            </w:rPr>
            <w:fldChar w:fldCharType="end"/>
          </w:r>
        </w:p>
      </w:sdtContent>
    </w:sdt>
    <w:p w14:paraId="08A5B3DA">
      <w:pPr>
        <w:pStyle w:val="42"/>
        <w:rPr>
          <w:rFonts w:hint="eastAsia" w:ascii="Times New Roman" w:hAnsi="Times New Roman" w:eastAsia="宋体" w:cs="宋体"/>
          <w:caps w:val="0"/>
          <w:highlight w:val="none"/>
          <w:lang w:val="en-US" w:eastAsia="zh-CN"/>
        </w:rPr>
      </w:pPr>
    </w:p>
    <w:p w14:paraId="1173DF74">
      <w:pPr>
        <w:pStyle w:val="42"/>
        <w:rPr>
          <w:rFonts w:hint="eastAsia" w:ascii="Times New Roman" w:hAnsi="Times New Roman" w:eastAsia="宋体" w:cs="宋体"/>
          <w:caps w:val="0"/>
          <w:highlight w:val="none"/>
          <w:lang w:val="en-US" w:eastAsia="zh-CN"/>
        </w:rPr>
        <w:sectPr>
          <w:pgSz w:w="11906" w:h="16838"/>
          <w:pgMar w:top="1440" w:right="1800" w:bottom="1440" w:left="1800" w:header="851" w:footer="1077" w:gutter="0"/>
          <w:pgBorders w:offsetFrom="page">
            <w:top w:val="none" w:sz="0" w:space="0"/>
            <w:left w:val="none" w:sz="0" w:space="0"/>
            <w:bottom w:val="none" w:sz="0" w:space="0"/>
            <w:right w:val="none" w:sz="0" w:space="0"/>
          </w:pgBorders>
          <w:cols w:space="720" w:num="1"/>
          <w:docGrid w:linePitch="312" w:charSpace="0"/>
        </w:sectPr>
      </w:pPr>
    </w:p>
    <w:p w14:paraId="1DE137AB">
      <w:pPr>
        <w:pStyle w:val="7"/>
        <w:spacing w:line="360" w:lineRule="auto"/>
        <w:jc w:val="center"/>
        <w:rPr>
          <w:rFonts w:hint="eastAsia" w:ascii="Times New Roman" w:hAnsi="Times New Roman" w:eastAsia="宋体" w:cs="宋体"/>
          <w:caps w:val="0"/>
          <w:spacing w:val="0"/>
          <w:highlight w:val="none"/>
        </w:rPr>
      </w:pPr>
      <w:bookmarkStart w:id="2" w:name="_Toc22821"/>
      <w:bookmarkStart w:id="3" w:name="_Toc71191475"/>
      <w:r>
        <w:rPr>
          <w:rFonts w:hint="eastAsia" w:ascii="Times New Roman" w:hAnsi="Times New Roman" w:eastAsia="宋体" w:cs="宋体"/>
          <w:caps w:val="0"/>
          <w:spacing w:val="0"/>
          <w:highlight w:val="none"/>
        </w:rPr>
        <w:t>一、建设项目基本情况</w:t>
      </w:r>
      <w:bookmarkEnd w:id="2"/>
      <w:bookmarkEnd w:id="3"/>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699"/>
        <w:gridCol w:w="1264"/>
        <w:gridCol w:w="1919"/>
        <w:gridCol w:w="1950"/>
        <w:gridCol w:w="2575"/>
      </w:tblGrid>
      <w:tr w14:paraId="30B17E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5D7918EA">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建设项目名称</w:t>
            </w:r>
          </w:p>
        </w:tc>
        <w:tc>
          <w:tcPr>
            <w:tcW w:w="6497" w:type="dxa"/>
            <w:gridSpan w:val="3"/>
            <w:noWrap w:val="0"/>
            <w:vAlign w:val="center"/>
          </w:tcPr>
          <w:p w14:paraId="289F5258">
            <w:pPr>
              <w:spacing w:line="240" w:lineRule="auto"/>
              <w:ind w:firstLine="0" w:firstLineChars="0"/>
              <w:jc w:val="center"/>
              <w:rPr>
                <w:rFonts w:hint="eastAsia" w:ascii="Times New Roman" w:hAnsi="Times New Roman" w:eastAsia="宋体" w:cs="宋体"/>
                <w:bCs/>
                <w:caps w:val="0"/>
                <w:spacing w:val="0"/>
                <w:sz w:val="24"/>
                <w:szCs w:val="24"/>
                <w:highlight w:val="none"/>
                <w:lang w:val="en-US" w:eastAsia="zh-CN"/>
              </w:rPr>
            </w:pPr>
            <w:r>
              <w:rPr>
                <w:rFonts w:hint="eastAsia" w:ascii="Times New Roman" w:hAnsi="Times New Roman" w:eastAsia="宋体" w:cs="宋体"/>
                <w:bCs/>
                <w:caps w:val="0"/>
                <w:spacing w:val="0"/>
                <w:sz w:val="24"/>
                <w:szCs w:val="24"/>
                <w:highlight w:val="none"/>
                <w:lang w:val="en-US" w:eastAsia="zh-CN"/>
              </w:rPr>
              <w:t>鸡西市燎盛新材料科技有限公司锅炉改造项目</w:t>
            </w:r>
          </w:p>
        </w:tc>
      </w:tr>
      <w:tr w14:paraId="0B402B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22C84B58">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项目代码</w:t>
            </w:r>
          </w:p>
        </w:tc>
        <w:tc>
          <w:tcPr>
            <w:tcW w:w="6497" w:type="dxa"/>
            <w:gridSpan w:val="3"/>
            <w:noWrap w:val="0"/>
            <w:vAlign w:val="center"/>
          </w:tcPr>
          <w:p w14:paraId="5B092B4A">
            <w:pPr>
              <w:spacing w:line="240" w:lineRule="auto"/>
              <w:ind w:firstLine="0" w:firstLineChars="0"/>
              <w:jc w:val="center"/>
              <w:rPr>
                <w:rFonts w:hint="default" w:ascii="Times New Roman" w:hAnsi="Times New Roman" w:eastAsia="宋体" w:cs="宋体"/>
                <w:bCs/>
                <w:caps w:val="0"/>
                <w:spacing w:val="0"/>
                <w:sz w:val="24"/>
                <w:szCs w:val="24"/>
                <w:highlight w:val="none"/>
                <w:lang w:val="en-US" w:eastAsia="zh-CN"/>
              </w:rPr>
            </w:pPr>
            <w:r>
              <w:rPr>
                <w:rFonts w:hint="eastAsia" w:ascii="Times New Roman" w:hAnsi="Times New Roman" w:eastAsia="宋体" w:cs="宋体"/>
                <w:bCs/>
                <w:caps w:val="0"/>
                <w:spacing w:val="0"/>
                <w:sz w:val="24"/>
                <w:szCs w:val="24"/>
                <w:highlight w:val="none"/>
                <w:lang w:val="en-US" w:eastAsia="zh-CN"/>
              </w:rPr>
              <w:t>/</w:t>
            </w:r>
          </w:p>
        </w:tc>
      </w:tr>
      <w:tr w14:paraId="7D66F1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6FA65407">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建设单位联系人</w:t>
            </w:r>
          </w:p>
        </w:tc>
        <w:tc>
          <w:tcPr>
            <w:tcW w:w="1935" w:type="dxa"/>
            <w:noWrap w:val="0"/>
            <w:vAlign w:val="center"/>
          </w:tcPr>
          <w:p w14:paraId="4C0BA017">
            <w:pPr>
              <w:spacing w:line="240" w:lineRule="auto"/>
              <w:ind w:firstLine="0" w:firstLineChars="0"/>
              <w:jc w:val="center"/>
              <w:rPr>
                <w:rFonts w:hint="default" w:ascii="Times New Roman" w:hAnsi="Times New Roman" w:eastAsia="宋体" w:cs="宋体"/>
                <w:caps w:val="0"/>
                <w:spacing w:val="0"/>
                <w:sz w:val="24"/>
                <w:szCs w:val="24"/>
                <w:highlight w:val="none"/>
                <w:lang w:val="en-US" w:eastAsia="zh-CN"/>
              </w:rPr>
            </w:pPr>
            <w:r>
              <w:rPr>
                <w:rFonts w:hint="default" w:ascii="Times New Roman" w:hAnsi="Times New Roman" w:eastAsia="宋体" w:cs="宋体"/>
                <w:caps w:val="0"/>
                <w:spacing w:val="0"/>
                <w:sz w:val="24"/>
                <w:szCs w:val="24"/>
                <w:highlight w:val="none"/>
                <w:lang w:val="en-US" w:eastAsia="zh-CN"/>
              </w:rPr>
              <w:t>赵宇</w:t>
            </w:r>
          </w:p>
        </w:tc>
        <w:tc>
          <w:tcPr>
            <w:tcW w:w="1966" w:type="dxa"/>
            <w:noWrap w:val="0"/>
            <w:vAlign w:val="center"/>
          </w:tcPr>
          <w:p w14:paraId="3048224C">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联系方式</w:t>
            </w:r>
          </w:p>
        </w:tc>
        <w:tc>
          <w:tcPr>
            <w:tcW w:w="2596" w:type="dxa"/>
            <w:noWrap w:val="0"/>
            <w:vAlign w:val="center"/>
          </w:tcPr>
          <w:p w14:paraId="1DFE9C4C">
            <w:pPr>
              <w:spacing w:line="240" w:lineRule="auto"/>
              <w:ind w:firstLine="0" w:firstLineChars="0"/>
              <w:jc w:val="center"/>
              <w:rPr>
                <w:rFonts w:hint="eastAsia" w:ascii="Times New Roman" w:hAnsi="Times New Roman" w:eastAsia="宋体" w:cs="宋体"/>
                <w:caps w:val="0"/>
                <w:spacing w:val="0"/>
                <w:sz w:val="24"/>
                <w:szCs w:val="24"/>
                <w:highlight w:val="none"/>
                <w:lang w:eastAsia="zh-CN"/>
              </w:rPr>
            </w:pPr>
            <w:r>
              <w:rPr>
                <w:rFonts w:hint="eastAsia" w:ascii="Times New Roman" w:hAnsi="Times New Roman" w:eastAsia="宋体" w:cs="宋体"/>
                <w:caps w:val="0"/>
                <w:spacing w:val="0"/>
                <w:sz w:val="24"/>
                <w:szCs w:val="24"/>
                <w:highlight w:val="none"/>
                <w:lang w:eastAsia="zh-CN"/>
              </w:rPr>
              <w:t>18804679062</w:t>
            </w:r>
          </w:p>
        </w:tc>
      </w:tr>
      <w:tr w14:paraId="00D3ED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1979" w:type="dxa"/>
            <w:gridSpan w:val="2"/>
            <w:noWrap w:val="0"/>
            <w:tcMar>
              <w:top w:w="16" w:type="dxa"/>
              <w:left w:w="16" w:type="dxa"/>
              <w:right w:w="16" w:type="dxa"/>
            </w:tcMar>
            <w:vAlign w:val="center"/>
          </w:tcPr>
          <w:p w14:paraId="128A7515">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建设地点</w:t>
            </w:r>
          </w:p>
        </w:tc>
        <w:tc>
          <w:tcPr>
            <w:tcW w:w="6497" w:type="dxa"/>
            <w:gridSpan w:val="3"/>
            <w:noWrap w:val="0"/>
            <w:vAlign w:val="center"/>
          </w:tcPr>
          <w:p w14:paraId="7F101675">
            <w:pPr>
              <w:spacing w:line="240" w:lineRule="auto"/>
              <w:ind w:firstLine="0" w:firstLineChars="0"/>
              <w:jc w:val="center"/>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cs="宋体"/>
                <w:caps w:val="0"/>
                <w:color w:val="auto"/>
                <w:spacing w:val="0"/>
                <w:sz w:val="24"/>
                <w:szCs w:val="24"/>
                <w:highlight w:val="none"/>
                <w:lang w:val="en-US" w:eastAsia="zh-CN"/>
              </w:rPr>
              <w:t>黑龙江省鸡西市梨树区穆棱矿区双建委</w:t>
            </w:r>
            <w:r>
              <w:rPr>
                <w:rFonts w:hint="eastAsia" w:ascii="Times New Roman" w:hAnsi="Times New Roman" w:eastAsia="宋体" w:cs="宋体"/>
                <w:caps w:val="0"/>
                <w:color w:val="auto"/>
                <w:spacing w:val="0"/>
                <w:sz w:val="24"/>
                <w:szCs w:val="24"/>
                <w:highlight w:val="none"/>
                <w:lang w:val="en-US" w:eastAsia="zh-CN"/>
              </w:rPr>
              <w:t>（鸡西市燎盛新材料科技有限公司院内）</w:t>
            </w:r>
          </w:p>
        </w:tc>
      </w:tr>
      <w:tr w14:paraId="2790C5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0865A141">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地理坐标</w:t>
            </w:r>
          </w:p>
        </w:tc>
        <w:tc>
          <w:tcPr>
            <w:tcW w:w="6497" w:type="dxa"/>
            <w:gridSpan w:val="3"/>
            <w:noWrap w:val="0"/>
            <w:vAlign w:val="center"/>
          </w:tcPr>
          <w:p w14:paraId="42374C45">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东经</w:t>
            </w:r>
            <w:r>
              <w:rPr>
                <w:rFonts w:hint="eastAsia" w:ascii="Times New Roman" w:hAnsi="Times New Roman" w:eastAsia="宋体" w:cs="宋体"/>
                <w:caps w:val="0"/>
                <w:color w:val="auto"/>
                <w:sz w:val="24"/>
                <w:highlight w:val="none"/>
                <w:u w:val="single"/>
                <w:lang w:val="en-US" w:eastAsia="zh-CN"/>
              </w:rPr>
              <w:t>130</w:t>
            </w:r>
            <w:r>
              <w:rPr>
                <w:rFonts w:ascii="Times New Roman" w:hAnsi="Times New Roman" w:eastAsia="宋体" w:cs="宋体"/>
                <w:caps w:val="0"/>
                <w:color w:val="auto"/>
                <w:sz w:val="24"/>
                <w:highlight w:val="none"/>
              </w:rPr>
              <w:t>度</w:t>
            </w:r>
            <w:r>
              <w:rPr>
                <w:rFonts w:hint="eastAsia" w:ascii="Times New Roman" w:hAnsi="Times New Roman" w:eastAsia="宋体" w:cs="宋体"/>
                <w:caps w:val="0"/>
                <w:color w:val="auto"/>
                <w:sz w:val="24"/>
                <w:highlight w:val="none"/>
                <w:u w:val="single"/>
                <w:lang w:val="en-US" w:eastAsia="zh-CN"/>
              </w:rPr>
              <w:t>43</w:t>
            </w:r>
            <w:r>
              <w:rPr>
                <w:rFonts w:ascii="Times New Roman" w:hAnsi="Times New Roman" w:eastAsia="宋体" w:cs="宋体"/>
                <w:caps w:val="0"/>
                <w:color w:val="auto"/>
                <w:sz w:val="24"/>
                <w:highlight w:val="none"/>
              </w:rPr>
              <w:t>分</w:t>
            </w:r>
            <w:r>
              <w:rPr>
                <w:rFonts w:hint="eastAsia" w:ascii="Times New Roman" w:hAnsi="Times New Roman" w:eastAsia="宋体" w:cs="宋体"/>
                <w:caps w:val="0"/>
                <w:color w:val="auto"/>
                <w:sz w:val="24"/>
                <w:highlight w:val="none"/>
                <w:u w:val="single"/>
                <w:lang w:val="en-US" w:eastAsia="zh-CN"/>
              </w:rPr>
              <w:t>12.301</w:t>
            </w:r>
            <w:r>
              <w:rPr>
                <w:rFonts w:hint="eastAsia" w:ascii="Times New Roman" w:hAnsi="Times New Roman" w:eastAsia="宋体" w:cs="宋体"/>
                <w:caps w:val="0"/>
                <w:spacing w:val="0"/>
                <w:sz w:val="24"/>
                <w:szCs w:val="24"/>
                <w:highlight w:val="none"/>
              </w:rPr>
              <w:t>秒，北纬</w:t>
            </w:r>
            <w:r>
              <w:rPr>
                <w:rFonts w:hint="eastAsia" w:ascii="Times New Roman" w:hAnsi="Times New Roman" w:eastAsia="宋体" w:cs="宋体"/>
                <w:caps w:val="0"/>
                <w:spacing w:val="0"/>
                <w:sz w:val="24"/>
                <w:szCs w:val="24"/>
                <w:highlight w:val="none"/>
                <w:u w:val="single"/>
              </w:rPr>
              <w:t>45</w:t>
            </w:r>
            <w:r>
              <w:rPr>
                <w:rFonts w:hint="eastAsia" w:ascii="Times New Roman" w:hAnsi="Times New Roman" w:eastAsia="宋体" w:cs="宋体"/>
                <w:caps w:val="0"/>
                <w:spacing w:val="0"/>
                <w:sz w:val="24"/>
                <w:szCs w:val="24"/>
                <w:highlight w:val="none"/>
              </w:rPr>
              <w:t>度</w:t>
            </w:r>
            <w:r>
              <w:rPr>
                <w:rFonts w:hint="eastAsia" w:ascii="Times New Roman" w:hAnsi="Times New Roman" w:eastAsia="宋体" w:cs="宋体"/>
                <w:caps w:val="0"/>
                <w:spacing w:val="0"/>
                <w:sz w:val="24"/>
                <w:szCs w:val="24"/>
                <w:highlight w:val="none"/>
                <w:u w:val="single"/>
                <w:lang w:val="en-US" w:eastAsia="zh-CN"/>
              </w:rPr>
              <w:t>4</w:t>
            </w:r>
            <w:r>
              <w:rPr>
                <w:rFonts w:hint="eastAsia" w:ascii="Times New Roman" w:hAnsi="Times New Roman" w:eastAsia="宋体" w:cs="宋体"/>
                <w:caps w:val="0"/>
                <w:spacing w:val="0"/>
                <w:sz w:val="24"/>
                <w:szCs w:val="24"/>
                <w:highlight w:val="none"/>
              </w:rPr>
              <w:t>分</w:t>
            </w:r>
            <w:r>
              <w:rPr>
                <w:rFonts w:hint="eastAsia" w:ascii="Times New Roman" w:hAnsi="Times New Roman" w:eastAsia="宋体" w:cs="宋体"/>
                <w:caps w:val="0"/>
                <w:spacing w:val="0"/>
                <w:sz w:val="24"/>
                <w:szCs w:val="24"/>
                <w:highlight w:val="none"/>
                <w:u w:val="single"/>
                <w:lang w:val="en-US" w:eastAsia="zh-CN"/>
              </w:rPr>
              <w:t>8.318</w:t>
            </w:r>
            <w:r>
              <w:rPr>
                <w:rFonts w:hint="eastAsia" w:ascii="Times New Roman" w:hAnsi="Times New Roman" w:eastAsia="宋体" w:cs="宋体"/>
                <w:caps w:val="0"/>
                <w:spacing w:val="0"/>
                <w:sz w:val="24"/>
                <w:szCs w:val="24"/>
                <w:highlight w:val="none"/>
              </w:rPr>
              <w:t>秒</w:t>
            </w:r>
          </w:p>
        </w:tc>
      </w:tr>
      <w:tr w14:paraId="7F6F37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979" w:type="dxa"/>
            <w:gridSpan w:val="2"/>
            <w:noWrap w:val="0"/>
            <w:tcMar>
              <w:top w:w="16" w:type="dxa"/>
              <w:left w:w="16" w:type="dxa"/>
              <w:right w:w="16" w:type="dxa"/>
            </w:tcMar>
            <w:vAlign w:val="center"/>
          </w:tcPr>
          <w:p w14:paraId="6632B914">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国民经济</w:t>
            </w:r>
          </w:p>
          <w:p w14:paraId="428E2B53">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行业类别</w:t>
            </w:r>
          </w:p>
        </w:tc>
        <w:tc>
          <w:tcPr>
            <w:tcW w:w="1935" w:type="dxa"/>
            <w:noWrap w:val="0"/>
            <w:vAlign w:val="center"/>
          </w:tcPr>
          <w:p w14:paraId="17F0E6DA">
            <w:pPr>
              <w:spacing w:line="240" w:lineRule="auto"/>
              <w:ind w:firstLine="0" w:firstLineChars="0"/>
              <w:jc w:val="center"/>
              <w:rPr>
                <w:rFonts w:hint="eastAsia" w:ascii="Times New Roman" w:hAnsi="Times New Roman" w:eastAsia="宋体" w:cs="宋体"/>
                <w:caps w:val="0"/>
                <w:spacing w:val="0"/>
                <w:highlight w:val="none"/>
                <w:lang w:val="en-US" w:eastAsia="zh-CN"/>
              </w:rPr>
            </w:pPr>
            <w:r>
              <w:rPr>
                <w:rFonts w:hint="eastAsia" w:ascii="Times New Roman" w:hAnsi="Times New Roman" w:eastAsia="宋体" w:cs="宋体"/>
                <w:bCs/>
                <w:caps w:val="0"/>
                <w:spacing w:val="0"/>
                <w:sz w:val="24"/>
                <w:szCs w:val="24"/>
                <w:highlight w:val="none"/>
                <w:lang w:val="en-US" w:eastAsia="zh-CN"/>
              </w:rPr>
              <w:t>D-4430热力生产和供应业</w:t>
            </w:r>
          </w:p>
        </w:tc>
        <w:tc>
          <w:tcPr>
            <w:tcW w:w="1966" w:type="dxa"/>
            <w:noWrap w:val="0"/>
            <w:vAlign w:val="center"/>
          </w:tcPr>
          <w:p w14:paraId="5BEDFC7F">
            <w:pPr>
              <w:spacing w:line="240" w:lineRule="auto"/>
              <w:ind w:firstLine="0" w:firstLineChars="0"/>
              <w:jc w:val="center"/>
              <w:rPr>
                <w:rFonts w:hint="eastAsia" w:ascii="Times New Roman" w:hAnsi="Times New Roman" w:eastAsia="宋体" w:cs="宋体"/>
                <w:caps w:val="0"/>
                <w:spacing w:val="0"/>
                <w:sz w:val="24"/>
                <w:szCs w:val="24"/>
                <w:highlight w:val="none"/>
              </w:rPr>
            </w:pPr>
            <w:bookmarkStart w:id="4" w:name="_Hlk49843745"/>
            <w:r>
              <w:rPr>
                <w:rFonts w:hint="eastAsia" w:ascii="Times New Roman" w:hAnsi="Times New Roman" w:eastAsia="宋体" w:cs="宋体"/>
                <w:caps w:val="0"/>
                <w:spacing w:val="0"/>
                <w:sz w:val="24"/>
                <w:szCs w:val="24"/>
                <w:highlight w:val="none"/>
              </w:rPr>
              <w:t>建设项目</w:t>
            </w:r>
          </w:p>
          <w:p w14:paraId="574E81D0">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行业类别</w:t>
            </w:r>
            <w:bookmarkEnd w:id="4"/>
          </w:p>
        </w:tc>
        <w:tc>
          <w:tcPr>
            <w:tcW w:w="2596" w:type="dxa"/>
            <w:noWrap w:val="0"/>
            <w:vAlign w:val="center"/>
          </w:tcPr>
          <w:p w14:paraId="28D42ACE">
            <w:pPr>
              <w:pStyle w:val="5"/>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firstLine="0" w:firstLineChars="0"/>
              <w:jc w:val="center"/>
              <w:textAlignment w:val="auto"/>
              <w:rPr>
                <w:rFonts w:hint="eastAsia" w:ascii="Times New Roman" w:hAnsi="Times New Roman" w:eastAsia="宋体" w:cs="宋体"/>
                <w:caps w:val="0"/>
                <w:spacing w:val="0"/>
                <w:sz w:val="24"/>
                <w:szCs w:val="24"/>
                <w:highlight w:val="none"/>
                <w:lang w:eastAsia="zh-CN"/>
              </w:rPr>
            </w:pPr>
            <w:r>
              <w:rPr>
                <w:rFonts w:hint="eastAsia" w:ascii="Times New Roman" w:hAnsi="Times New Roman" w:eastAsia="宋体" w:cs="宋体"/>
                <w:bCs/>
                <w:caps w:val="0"/>
                <w:color w:val="auto"/>
                <w:spacing w:val="0"/>
                <w:kern w:val="2"/>
                <w:sz w:val="24"/>
                <w:szCs w:val="24"/>
                <w:highlight w:val="none"/>
                <w:lang w:val="en-US" w:eastAsia="zh-CN" w:bidi="ar-SA"/>
              </w:rPr>
              <w:t>“四十一、电力、热力生产和供应业91-天然气锅炉总容量1吨/小时（0.7兆瓦）以上的；使用其他高污染燃料的”</w:t>
            </w:r>
          </w:p>
        </w:tc>
      </w:tr>
      <w:tr w14:paraId="20FB47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067" w:hRule="atLeast"/>
          <w:jc w:val="center"/>
        </w:trPr>
        <w:tc>
          <w:tcPr>
            <w:tcW w:w="1979" w:type="dxa"/>
            <w:gridSpan w:val="2"/>
            <w:noWrap w:val="0"/>
            <w:tcMar>
              <w:top w:w="16" w:type="dxa"/>
              <w:left w:w="16" w:type="dxa"/>
              <w:right w:w="16" w:type="dxa"/>
            </w:tcMar>
            <w:vAlign w:val="center"/>
          </w:tcPr>
          <w:p w14:paraId="4C4DF03A">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建设性质</w:t>
            </w:r>
          </w:p>
        </w:tc>
        <w:tc>
          <w:tcPr>
            <w:tcW w:w="1935" w:type="dxa"/>
            <w:noWrap w:val="0"/>
            <w:vAlign w:val="center"/>
          </w:tcPr>
          <w:p w14:paraId="18A2906A">
            <w:pPr>
              <w:spacing w:line="240" w:lineRule="auto"/>
              <w:ind w:firstLine="0" w:firstLineChars="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新建（迁建）</w:t>
            </w:r>
          </w:p>
          <w:p w14:paraId="32908AE0">
            <w:pPr>
              <w:spacing w:line="240" w:lineRule="auto"/>
              <w:ind w:firstLine="0" w:firstLineChars="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改建</w:t>
            </w:r>
          </w:p>
          <w:p w14:paraId="2BED7B44">
            <w:pPr>
              <w:spacing w:line="240" w:lineRule="auto"/>
              <w:ind w:firstLine="0" w:firstLineChars="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扩建</w:t>
            </w:r>
          </w:p>
          <w:p w14:paraId="768FD4E2">
            <w:pPr>
              <w:spacing w:line="240" w:lineRule="auto"/>
              <w:ind w:firstLine="0" w:firstLineChars="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□技术改造</w:t>
            </w:r>
          </w:p>
        </w:tc>
        <w:tc>
          <w:tcPr>
            <w:tcW w:w="1966" w:type="dxa"/>
            <w:noWrap w:val="0"/>
            <w:vAlign w:val="center"/>
          </w:tcPr>
          <w:p w14:paraId="16F0EDA8">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建设项目</w:t>
            </w:r>
          </w:p>
          <w:p w14:paraId="084A9188">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申报情形</w:t>
            </w:r>
          </w:p>
        </w:tc>
        <w:tc>
          <w:tcPr>
            <w:tcW w:w="2596" w:type="dxa"/>
            <w:noWrap w:val="0"/>
            <w:vAlign w:val="center"/>
          </w:tcPr>
          <w:p w14:paraId="6D1F6627">
            <w:pPr>
              <w:spacing w:line="240" w:lineRule="auto"/>
              <w:ind w:firstLine="0" w:firstLineChars="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首次申报项目</w:t>
            </w:r>
          </w:p>
          <w:p w14:paraId="41FE2E0E">
            <w:pPr>
              <w:spacing w:line="240" w:lineRule="auto"/>
              <w:ind w:firstLine="0" w:firstLineChars="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□不予批准后再次申报项目</w:t>
            </w:r>
          </w:p>
          <w:p w14:paraId="2BFFF82C">
            <w:pPr>
              <w:spacing w:line="240" w:lineRule="auto"/>
              <w:ind w:firstLine="0" w:firstLineChars="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□超五年重新审核项目</w:t>
            </w:r>
          </w:p>
          <w:p w14:paraId="3E3D2E85">
            <w:pPr>
              <w:spacing w:line="240" w:lineRule="auto"/>
              <w:ind w:firstLine="0" w:firstLineChars="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□重大变动重新报批项目</w:t>
            </w:r>
          </w:p>
        </w:tc>
      </w:tr>
      <w:tr w14:paraId="4AB2F6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059" w:hRule="atLeast"/>
          <w:jc w:val="center"/>
        </w:trPr>
        <w:tc>
          <w:tcPr>
            <w:tcW w:w="1979" w:type="dxa"/>
            <w:gridSpan w:val="2"/>
            <w:noWrap w:val="0"/>
            <w:tcMar>
              <w:top w:w="16" w:type="dxa"/>
              <w:left w:w="16" w:type="dxa"/>
              <w:right w:w="16" w:type="dxa"/>
            </w:tcMar>
            <w:vAlign w:val="center"/>
          </w:tcPr>
          <w:p w14:paraId="4BC5D7F5">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项目审批（核准/</w:t>
            </w:r>
          </w:p>
          <w:p w14:paraId="4AC32C5B">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备案）部门（选填）</w:t>
            </w:r>
          </w:p>
        </w:tc>
        <w:tc>
          <w:tcPr>
            <w:tcW w:w="1935" w:type="dxa"/>
            <w:noWrap w:val="0"/>
            <w:vAlign w:val="center"/>
          </w:tcPr>
          <w:p w14:paraId="53B39B70">
            <w:pPr>
              <w:spacing w:line="240" w:lineRule="auto"/>
              <w:ind w:firstLine="0" w:firstLineChars="0"/>
              <w:jc w:val="center"/>
              <w:rPr>
                <w:rFonts w:hint="eastAsia" w:ascii="Times New Roman" w:hAnsi="Times New Roman" w:eastAsia="宋体" w:cs="宋体"/>
                <w:caps w:val="0"/>
                <w:spacing w:val="0"/>
                <w:sz w:val="24"/>
                <w:szCs w:val="24"/>
                <w:highlight w:val="none"/>
                <w:lang w:eastAsia="zh-CN"/>
              </w:rPr>
            </w:pPr>
            <w:r>
              <w:rPr>
                <w:rFonts w:hint="eastAsia" w:ascii="Times New Roman" w:hAnsi="Times New Roman" w:eastAsia="宋体" w:cs="宋体"/>
                <w:caps w:val="0"/>
                <w:spacing w:val="0"/>
                <w:sz w:val="24"/>
                <w:szCs w:val="24"/>
                <w:highlight w:val="none"/>
                <w:lang w:val="en-US" w:eastAsia="zh-CN"/>
              </w:rPr>
              <w:t>/</w:t>
            </w:r>
          </w:p>
        </w:tc>
        <w:tc>
          <w:tcPr>
            <w:tcW w:w="1966" w:type="dxa"/>
            <w:noWrap w:val="0"/>
            <w:vAlign w:val="center"/>
          </w:tcPr>
          <w:p w14:paraId="067AE525">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项目审批（核准/备案）文号（选填）</w:t>
            </w:r>
          </w:p>
        </w:tc>
        <w:tc>
          <w:tcPr>
            <w:tcW w:w="2596" w:type="dxa"/>
            <w:noWrap w:val="0"/>
            <w:vAlign w:val="center"/>
          </w:tcPr>
          <w:p w14:paraId="3903AA94">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w:t>
            </w:r>
          </w:p>
        </w:tc>
      </w:tr>
      <w:tr w14:paraId="4D8D1C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207867FA">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总投资（万元）</w:t>
            </w:r>
          </w:p>
        </w:tc>
        <w:tc>
          <w:tcPr>
            <w:tcW w:w="1935" w:type="dxa"/>
            <w:noWrap w:val="0"/>
            <w:vAlign w:val="center"/>
          </w:tcPr>
          <w:p w14:paraId="14F67FF8">
            <w:pPr>
              <w:spacing w:line="240" w:lineRule="auto"/>
              <w:ind w:firstLine="0" w:firstLineChars="0"/>
              <w:jc w:val="center"/>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100</w:t>
            </w:r>
          </w:p>
        </w:tc>
        <w:tc>
          <w:tcPr>
            <w:tcW w:w="1966" w:type="dxa"/>
            <w:noWrap w:val="0"/>
            <w:tcMar>
              <w:top w:w="16" w:type="dxa"/>
              <w:left w:w="16" w:type="dxa"/>
              <w:right w:w="16" w:type="dxa"/>
            </w:tcMar>
            <w:vAlign w:val="center"/>
          </w:tcPr>
          <w:p w14:paraId="2E58D0C3">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环保投资（万元）</w:t>
            </w:r>
          </w:p>
        </w:tc>
        <w:tc>
          <w:tcPr>
            <w:tcW w:w="2596" w:type="dxa"/>
            <w:noWrap w:val="0"/>
            <w:vAlign w:val="center"/>
          </w:tcPr>
          <w:p w14:paraId="60815C45">
            <w:pPr>
              <w:spacing w:line="240" w:lineRule="auto"/>
              <w:ind w:firstLine="0" w:firstLineChars="0"/>
              <w:jc w:val="center"/>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39.1</w:t>
            </w:r>
          </w:p>
        </w:tc>
      </w:tr>
      <w:tr w14:paraId="1165FA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652D17E9">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环保投资占比（%）</w:t>
            </w:r>
          </w:p>
        </w:tc>
        <w:tc>
          <w:tcPr>
            <w:tcW w:w="1935" w:type="dxa"/>
            <w:noWrap w:val="0"/>
            <w:vAlign w:val="center"/>
          </w:tcPr>
          <w:p w14:paraId="259F48C0">
            <w:pPr>
              <w:spacing w:line="240" w:lineRule="auto"/>
              <w:ind w:firstLine="0" w:firstLineChars="0"/>
              <w:jc w:val="center"/>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39.1</w:t>
            </w:r>
          </w:p>
        </w:tc>
        <w:tc>
          <w:tcPr>
            <w:tcW w:w="1966" w:type="dxa"/>
            <w:noWrap w:val="0"/>
            <w:tcMar>
              <w:top w:w="16" w:type="dxa"/>
              <w:left w:w="16" w:type="dxa"/>
              <w:right w:w="16" w:type="dxa"/>
            </w:tcMar>
            <w:vAlign w:val="center"/>
          </w:tcPr>
          <w:p w14:paraId="35B22BDB">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施工工期</w:t>
            </w:r>
          </w:p>
        </w:tc>
        <w:tc>
          <w:tcPr>
            <w:tcW w:w="2596" w:type="dxa"/>
            <w:noWrap w:val="0"/>
            <w:vAlign w:val="center"/>
          </w:tcPr>
          <w:p w14:paraId="243FB8CF">
            <w:pPr>
              <w:spacing w:line="240" w:lineRule="auto"/>
              <w:ind w:firstLine="0" w:firstLineChars="0"/>
              <w:jc w:val="center"/>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color w:val="auto"/>
                <w:spacing w:val="0"/>
                <w:highlight w:val="none"/>
                <w:lang w:val="en-US" w:eastAsia="zh-CN"/>
              </w:rPr>
              <w:t>2026年1月—2月</w:t>
            </w:r>
          </w:p>
        </w:tc>
      </w:tr>
      <w:tr w14:paraId="1E5670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exact"/>
          <w:jc w:val="center"/>
        </w:trPr>
        <w:tc>
          <w:tcPr>
            <w:tcW w:w="1979" w:type="dxa"/>
            <w:gridSpan w:val="2"/>
            <w:noWrap w:val="0"/>
            <w:tcMar>
              <w:top w:w="16" w:type="dxa"/>
              <w:left w:w="16" w:type="dxa"/>
              <w:right w:w="16" w:type="dxa"/>
            </w:tcMar>
            <w:vAlign w:val="center"/>
          </w:tcPr>
          <w:p w14:paraId="2FE231A1">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是否开工建设</w:t>
            </w:r>
          </w:p>
        </w:tc>
        <w:tc>
          <w:tcPr>
            <w:tcW w:w="1935" w:type="dxa"/>
            <w:noWrap w:val="0"/>
            <w:vAlign w:val="center"/>
          </w:tcPr>
          <w:p w14:paraId="22686789">
            <w:pPr>
              <w:adjustRightInd w:val="0"/>
              <w:snapToGrid w:val="0"/>
              <w:spacing w:line="240" w:lineRule="auto"/>
              <w:ind w:left="0" w:leftChars="0" w:firstLine="0" w:firstLineChars="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sym w:font="Wingdings 2" w:char="0052"/>
            </w:r>
            <w:r>
              <w:rPr>
                <w:rFonts w:hint="eastAsia" w:ascii="Times New Roman" w:hAnsi="Times New Roman" w:eastAsia="宋体" w:cs="宋体"/>
                <w:caps w:val="0"/>
                <w:spacing w:val="0"/>
                <w:sz w:val="24"/>
                <w:szCs w:val="24"/>
                <w:highlight w:val="none"/>
              </w:rPr>
              <w:t>否</w:t>
            </w:r>
          </w:p>
          <w:p w14:paraId="0695E541">
            <w:pPr>
              <w:spacing w:line="240" w:lineRule="auto"/>
              <w:ind w:firstLine="0" w:firstLineChars="0"/>
              <w:jc w:val="left"/>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eastAsia="zh-CN"/>
              </w:rPr>
              <w:sym w:font="Wingdings 2" w:char="00A3"/>
            </w:r>
            <w:r>
              <w:rPr>
                <w:rFonts w:hint="eastAsia" w:ascii="Times New Roman" w:hAnsi="Times New Roman" w:eastAsia="宋体" w:cs="宋体"/>
                <w:caps w:val="0"/>
                <w:spacing w:val="0"/>
                <w:sz w:val="24"/>
                <w:szCs w:val="24"/>
                <w:highlight w:val="none"/>
              </w:rPr>
              <w:t>是：</w:t>
            </w:r>
          </w:p>
        </w:tc>
        <w:tc>
          <w:tcPr>
            <w:tcW w:w="1966" w:type="dxa"/>
            <w:noWrap w:val="0"/>
            <w:tcMar>
              <w:top w:w="16" w:type="dxa"/>
              <w:left w:w="16" w:type="dxa"/>
              <w:right w:w="16" w:type="dxa"/>
            </w:tcMar>
            <w:vAlign w:val="center"/>
          </w:tcPr>
          <w:p w14:paraId="569B24F5">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用地（用海）</w:t>
            </w:r>
          </w:p>
          <w:p w14:paraId="17D4D07F">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面积（m</w:t>
            </w:r>
            <w:r>
              <w:rPr>
                <w:rFonts w:hint="eastAsia" w:ascii="Times New Roman" w:hAnsi="Times New Roman" w:eastAsia="宋体" w:cs="宋体"/>
                <w:caps w:val="0"/>
                <w:spacing w:val="0"/>
                <w:sz w:val="24"/>
                <w:szCs w:val="24"/>
                <w:highlight w:val="none"/>
                <w:vertAlign w:val="superscript"/>
              </w:rPr>
              <w:t>2</w:t>
            </w:r>
            <w:r>
              <w:rPr>
                <w:rFonts w:hint="eastAsia" w:ascii="Times New Roman" w:hAnsi="Times New Roman" w:eastAsia="宋体" w:cs="宋体"/>
                <w:caps w:val="0"/>
                <w:spacing w:val="0"/>
                <w:sz w:val="24"/>
                <w:szCs w:val="24"/>
                <w:highlight w:val="none"/>
              </w:rPr>
              <w:t>）</w:t>
            </w:r>
          </w:p>
        </w:tc>
        <w:tc>
          <w:tcPr>
            <w:tcW w:w="2596" w:type="dxa"/>
            <w:noWrap w:val="0"/>
            <w:vAlign w:val="center"/>
          </w:tcPr>
          <w:p w14:paraId="7B19A80D">
            <w:pPr>
              <w:spacing w:line="240" w:lineRule="auto"/>
              <w:ind w:firstLine="0" w:firstLineChars="0"/>
              <w:jc w:val="center"/>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w:t>
            </w:r>
          </w:p>
        </w:tc>
      </w:tr>
      <w:tr w14:paraId="7615FD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979" w:type="dxa"/>
            <w:gridSpan w:val="2"/>
            <w:noWrap w:val="0"/>
            <w:vAlign w:val="center"/>
          </w:tcPr>
          <w:p w14:paraId="0FDC82AA">
            <w:pPr>
              <w:spacing w:line="240" w:lineRule="auto"/>
              <w:ind w:firstLine="0" w:firstLineChars="0"/>
              <w:jc w:val="center"/>
              <w:rPr>
                <w:rFonts w:hint="eastAsia" w:ascii="Times New Roman" w:hAnsi="Times New Roman" w:eastAsia="宋体" w:cs="宋体"/>
                <w:caps w:val="0"/>
                <w:spacing w:val="0"/>
                <w:kern w:val="0"/>
                <w:sz w:val="24"/>
                <w:szCs w:val="24"/>
                <w:highlight w:val="none"/>
              </w:rPr>
            </w:pPr>
            <w:r>
              <w:rPr>
                <w:rFonts w:hint="eastAsia" w:ascii="Times New Roman" w:hAnsi="Times New Roman" w:eastAsia="宋体" w:cs="宋体"/>
                <w:caps w:val="0"/>
                <w:spacing w:val="0"/>
                <w:kern w:val="0"/>
                <w:sz w:val="24"/>
                <w:szCs w:val="24"/>
                <w:highlight w:val="none"/>
              </w:rPr>
              <w:t>专项评价设置情况</w:t>
            </w:r>
          </w:p>
        </w:tc>
        <w:tc>
          <w:tcPr>
            <w:tcW w:w="6497" w:type="dxa"/>
            <w:gridSpan w:val="3"/>
            <w:noWrap w:val="0"/>
            <w:vAlign w:val="center"/>
          </w:tcPr>
          <w:p w14:paraId="539A16C5">
            <w:pPr>
              <w:autoSpaceDE w:val="0"/>
              <w:autoSpaceDN w:val="0"/>
              <w:adjustRightInd w:val="0"/>
              <w:snapToGrid w:val="0"/>
              <w:spacing w:line="360" w:lineRule="auto"/>
              <w:ind w:firstLine="420" w:firstLineChars="200"/>
              <w:jc w:val="left"/>
              <w:rPr>
                <w:rFonts w:ascii="Times New Roman" w:hAnsi="Times New Roman" w:eastAsia="宋体" w:cs="宋体"/>
                <w:caps w:val="0"/>
                <w:highlight w:val="none"/>
              </w:rPr>
            </w:pPr>
            <w:r>
              <w:rPr>
                <w:rFonts w:ascii="Times New Roman" w:hAnsi="Times New Roman" w:eastAsia="宋体" w:cs="宋体"/>
                <w:caps w:val="0"/>
                <w:sz w:val="21"/>
                <w:szCs w:val="21"/>
                <w:highlight w:val="none"/>
              </w:rPr>
              <w:t>根据《建设项目环境影响报告表</w:t>
            </w:r>
            <w:r>
              <w:rPr>
                <w:rFonts w:hint="eastAsia" w:ascii="Times New Roman" w:hAnsi="Times New Roman" w:eastAsia="宋体" w:cs="宋体"/>
                <w:caps w:val="0"/>
                <w:sz w:val="21"/>
                <w:szCs w:val="21"/>
                <w:highlight w:val="none"/>
              </w:rPr>
              <w:t>编制</w:t>
            </w:r>
            <w:r>
              <w:rPr>
                <w:rFonts w:ascii="Times New Roman" w:hAnsi="Times New Roman" w:eastAsia="宋体" w:cs="宋体"/>
                <w:caps w:val="0"/>
                <w:sz w:val="21"/>
                <w:szCs w:val="21"/>
                <w:highlight w:val="none"/>
              </w:rPr>
              <w:t>技术指南（污染影响类）》（试行）可知，土壤、声环境不开展专项评价，地下水原则上不开展专项评价，本项目大气、地表水、环境风险、生态和海洋专项评价设置情况详见表1</w:t>
            </w:r>
            <w:r>
              <w:rPr>
                <w:rFonts w:hint="eastAsia" w:ascii="Times New Roman" w:hAnsi="Times New Roman" w:eastAsia="宋体" w:cs="宋体"/>
                <w:caps w:val="0"/>
                <w:sz w:val="21"/>
                <w:szCs w:val="21"/>
                <w:highlight w:val="none"/>
              </w:rPr>
              <w:t>-1</w:t>
            </w:r>
            <w:r>
              <w:rPr>
                <w:rFonts w:ascii="Times New Roman" w:hAnsi="Times New Roman" w:eastAsia="宋体" w:cs="宋体"/>
                <w:caps w:val="0"/>
                <w:sz w:val="21"/>
                <w:szCs w:val="21"/>
                <w:highlight w:val="none"/>
              </w:rPr>
              <w:t>。</w:t>
            </w:r>
          </w:p>
          <w:p w14:paraId="043AE7F6">
            <w:pPr>
              <w:pStyle w:val="4"/>
              <w:spacing w:line="240" w:lineRule="auto"/>
              <w:ind w:firstLine="0"/>
              <w:jc w:val="center"/>
              <w:rPr>
                <w:rFonts w:ascii="Times New Roman" w:hAnsi="Times New Roman" w:eastAsia="宋体" w:cs="宋体"/>
                <w:caps w:val="0"/>
                <w:sz w:val="21"/>
                <w:szCs w:val="21"/>
                <w:highlight w:val="none"/>
              </w:rPr>
            </w:pPr>
            <w:r>
              <w:rPr>
                <w:rFonts w:hint="eastAsia" w:ascii="Times New Roman" w:hAnsi="Times New Roman" w:eastAsia="宋体" w:cs="宋体"/>
                <w:b/>
                <w:bCs/>
                <w:caps w:val="0"/>
                <w:sz w:val="21"/>
                <w:szCs w:val="21"/>
                <w:highlight w:val="none"/>
              </w:rPr>
              <w:t>表1-1 本项目专项评价设置情况</w:t>
            </w:r>
          </w:p>
          <w:tbl>
            <w:tblPr>
              <w:tblStyle w:val="35"/>
              <w:tblW w:w="4999"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2"/>
              <w:gridCol w:w="2322"/>
              <w:gridCol w:w="2120"/>
              <w:gridCol w:w="959"/>
            </w:tblGrid>
            <w:tr w14:paraId="0C67A1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696" w:type="pct"/>
                  <w:tcBorders>
                    <w:tl2br w:val="nil"/>
                    <w:tr2bl w:val="nil"/>
                  </w:tcBorders>
                  <w:noWrap w:val="0"/>
                  <w:vAlign w:val="center"/>
                </w:tcPr>
                <w:p w14:paraId="48BCE2D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
                      <w:bCs/>
                      <w:caps w:val="0"/>
                      <w:color w:val="000000"/>
                      <w:sz w:val="21"/>
                      <w:szCs w:val="21"/>
                      <w:highlight w:val="none"/>
                    </w:rPr>
                  </w:pPr>
                  <w:r>
                    <w:rPr>
                      <w:rFonts w:hint="eastAsia" w:ascii="Times New Roman" w:hAnsi="Times New Roman" w:eastAsia="宋体" w:cs="宋体"/>
                      <w:b/>
                      <w:bCs/>
                      <w:caps w:val="0"/>
                      <w:color w:val="000000"/>
                      <w:kern w:val="0"/>
                      <w:sz w:val="21"/>
                      <w:szCs w:val="21"/>
                      <w:highlight w:val="none"/>
                      <w:lang w:bidi="ar"/>
                    </w:rPr>
                    <w:t>专项评价类别</w:t>
                  </w:r>
                </w:p>
              </w:tc>
              <w:tc>
                <w:tcPr>
                  <w:tcW w:w="1849" w:type="pct"/>
                  <w:tcBorders>
                    <w:tl2br w:val="nil"/>
                    <w:tr2bl w:val="nil"/>
                  </w:tcBorders>
                  <w:noWrap w:val="0"/>
                  <w:vAlign w:val="center"/>
                </w:tcPr>
                <w:p w14:paraId="001A4B2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
                      <w:bCs/>
                      <w:caps w:val="0"/>
                      <w:color w:val="000000"/>
                      <w:sz w:val="21"/>
                      <w:szCs w:val="21"/>
                      <w:highlight w:val="none"/>
                    </w:rPr>
                  </w:pPr>
                  <w:r>
                    <w:rPr>
                      <w:rFonts w:hint="eastAsia" w:ascii="Times New Roman" w:hAnsi="Times New Roman" w:eastAsia="宋体" w:cs="宋体"/>
                      <w:b/>
                      <w:bCs/>
                      <w:caps w:val="0"/>
                      <w:color w:val="000000"/>
                      <w:kern w:val="0"/>
                      <w:sz w:val="21"/>
                      <w:szCs w:val="21"/>
                      <w:highlight w:val="none"/>
                      <w:lang w:bidi="ar"/>
                    </w:rPr>
                    <w:t>设置原则</w:t>
                  </w:r>
                </w:p>
              </w:tc>
              <w:tc>
                <w:tcPr>
                  <w:tcW w:w="1689" w:type="pct"/>
                  <w:tcBorders>
                    <w:tl2br w:val="nil"/>
                    <w:tr2bl w:val="nil"/>
                  </w:tcBorders>
                  <w:noWrap w:val="0"/>
                  <w:vAlign w:val="center"/>
                </w:tcPr>
                <w:p w14:paraId="7CD08A6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
                      <w:bCs/>
                      <w:caps w:val="0"/>
                      <w:color w:val="000000"/>
                      <w:sz w:val="21"/>
                      <w:szCs w:val="21"/>
                      <w:highlight w:val="none"/>
                    </w:rPr>
                  </w:pPr>
                  <w:r>
                    <w:rPr>
                      <w:rFonts w:hint="eastAsia" w:ascii="Times New Roman" w:hAnsi="Times New Roman" w:eastAsia="宋体" w:cs="宋体"/>
                      <w:b/>
                      <w:bCs/>
                      <w:caps w:val="0"/>
                      <w:color w:val="000000"/>
                      <w:kern w:val="0"/>
                      <w:sz w:val="21"/>
                      <w:szCs w:val="21"/>
                      <w:highlight w:val="none"/>
                      <w:lang w:bidi="ar"/>
                    </w:rPr>
                    <w:t>本项目相关情况</w:t>
                  </w:r>
                </w:p>
              </w:tc>
              <w:tc>
                <w:tcPr>
                  <w:tcW w:w="764" w:type="pct"/>
                  <w:tcBorders>
                    <w:tl2br w:val="nil"/>
                    <w:tr2bl w:val="nil"/>
                  </w:tcBorders>
                  <w:noWrap w:val="0"/>
                  <w:vAlign w:val="center"/>
                </w:tcPr>
                <w:p w14:paraId="6FBDDBC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
                      <w:bCs/>
                      <w:caps w:val="0"/>
                      <w:color w:val="000000"/>
                      <w:sz w:val="21"/>
                      <w:szCs w:val="21"/>
                      <w:highlight w:val="none"/>
                    </w:rPr>
                  </w:pPr>
                  <w:r>
                    <w:rPr>
                      <w:rFonts w:hint="eastAsia" w:ascii="Times New Roman" w:hAnsi="Times New Roman" w:eastAsia="宋体" w:cs="宋体"/>
                      <w:b/>
                      <w:bCs/>
                      <w:caps w:val="0"/>
                      <w:color w:val="000000"/>
                      <w:kern w:val="0"/>
                      <w:sz w:val="21"/>
                      <w:szCs w:val="21"/>
                      <w:highlight w:val="none"/>
                      <w:lang w:bidi="ar"/>
                    </w:rPr>
                    <w:t>判定结果</w:t>
                  </w:r>
                </w:p>
              </w:tc>
            </w:tr>
            <w:tr w14:paraId="6C4801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696" w:type="pct"/>
                  <w:tcBorders>
                    <w:tl2br w:val="nil"/>
                    <w:tr2bl w:val="nil"/>
                  </w:tcBorders>
                  <w:noWrap w:val="0"/>
                  <w:vAlign w:val="center"/>
                </w:tcPr>
                <w:p w14:paraId="1EB4E40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大气</w:t>
                  </w:r>
                </w:p>
              </w:tc>
              <w:tc>
                <w:tcPr>
                  <w:tcW w:w="1849" w:type="pct"/>
                  <w:tcBorders>
                    <w:tl2br w:val="nil"/>
                    <w:tr2bl w:val="nil"/>
                  </w:tcBorders>
                  <w:noWrap w:val="0"/>
                  <w:vAlign w:val="center"/>
                </w:tcPr>
                <w:p w14:paraId="24A8599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排放废气含有毒有害污染物、二噁英、苯并芘、氰化物、氯气且厂界外500米范围内有环境空气保护目标的建设项目</w:t>
                  </w:r>
                </w:p>
              </w:tc>
              <w:tc>
                <w:tcPr>
                  <w:tcW w:w="1689" w:type="pct"/>
                  <w:tcBorders>
                    <w:tl2br w:val="nil"/>
                    <w:tr2bl w:val="nil"/>
                  </w:tcBorders>
                  <w:noWrap w:val="0"/>
                  <w:vAlign w:val="center"/>
                </w:tcPr>
                <w:p w14:paraId="7F3B778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sz w:val="21"/>
                      <w:szCs w:val="21"/>
                      <w:highlight w:val="none"/>
                      <w:lang w:val="en-US" w:eastAsia="zh-CN"/>
                    </w:rPr>
                    <w:t>本项目排放废气中不含有毒有害污染物、二噁英、苯并[a]芘、氰化物、氯气；不需设置大气专项评价。</w:t>
                  </w:r>
                </w:p>
              </w:tc>
              <w:tc>
                <w:tcPr>
                  <w:tcW w:w="764" w:type="pct"/>
                  <w:tcBorders>
                    <w:tl2br w:val="nil"/>
                    <w:tr2bl w:val="nil"/>
                  </w:tcBorders>
                  <w:noWrap w:val="0"/>
                  <w:vAlign w:val="center"/>
                </w:tcPr>
                <w:p w14:paraId="2934B2C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不需设置</w:t>
                  </w:r>
                </w:p>
              </w:tc>
            </w:tr>
            <w:tr w14:paraId="1D4170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8" w:hRule="atLeast"/>
              </w:trPr>
              <w:tc>
                <w:tcPr>
                  <w:tcW w:w="696" w:type="pct"/>
                  <w:tcBorders>
                    <w:tl2br w:val="nil"/>
                    <w:tr2bl w:val="nil"/>
                  </w:tcBorders>
                  <w:noWrap w:val="0"/>
                  <w:vAlign w:val="center"/>
                </w:tcPr>
                <w:p w14:paraId="5BC54B2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地表水</w:t>
                  </w:r>
                </w:p>
              </w:tc>
              <w:tc>
                <w:tcPr>
                  <w:tcW w:w="1849" w:type="pct"/>
                  <w:tcBorders>
                    <w:tl2br w:val="nil"/>
                    <w:tr2bl w:val="nil"/>
                  </w:tcBorders>
                  <w:noWrap w:val="0"/>
                  <w:vAlign w:val="center"/>
                </w:tcPr>
                <w:p w14:paraId="1550771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新增工业废水直排建设项目（槽罐车外送污水处理厂的除外）；新增废水直排的污水集中处理厂</w:t>
                  </w:r>
                </w:p>
              </w:tc>
              <w:tc>
                <w:tcPr>
                  <w:tcW w:w="1689" w:type="pct"/>
                  <w:tcBorders>
                    <w:tl2br w:val="nil"/>
                    <w:tr2bl w:val="nil"/>
                  </w:tcBorders>
                  <w:noWrap w:val="0"/>
                  <w:vAlign w:val="center"/>
                </w:tcPr>
                <w:p w14:paraId="6FF9EDA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caps w:val="0"/>
                      <w:color w:val="000000"/>
                      <w:sz w:val="21"/>
                      <w:szCs w:val="21"/>
                      <w:highlight w:val="none"/>
                      <w:lang w:val="en-US" w:eastAsia="zh-CN"/>
                    </w:rPr>
                  </w:pPr>
                  <w:r>
                    <w:rPr>
                      <w:rFonts w:hint="eastAsia" w:ascii="Times New Roman" w:hAnsi="Times New Roman" w:eastAsia="宋体" w:cs="宋体"/>
                      <w:caps w:val="0"/>
                      <w:color w:val="000000"/>
                      <w:kern w:val="0"/>
                      <w:sz w:val="21"/>
                      <w:szCs w:val="21"/>
                      <w:highlight w:val="none"/>
                      <w:lang w:val="en-US" w:eastAsia="zh-CN" w:bidi="ar"/>
                    </w:rPr>
                    <w:t>本项目使用导热油作为导热介质，没有废水产生，不产生废水排放</w:t>
                  </w:r>
                </w:p>
              </w:tc>
              <w:tc>
                <w:tcPr>
                  <w:tcW w:w="764" w:type="pct"/>
                  <w:tcBorders>
                    <w:tl2br w:val="nil"/>
                    <w:tr2bl w:val="nil"/>
                  </w:tcBorders>
                  <w:noWrap w:val="0"/>
                  <w:vAlign w:val="center"/>
                </w:tcPr>
                <w:p w14:paraId="4624387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不需设置</w:t>
                  </w:r>
                </w:p>
              </w:tc>
            </w:tr>
            <w:tr w14:paraId="654D0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4" w:hRule="atLeast"/>
              </w:trPr>
              <w:tc>
                <w:tcPr>
                  <w:tcW w:w="696" w:type="pct"/>
                  <w:tcBorders>
                    <w:tl2br w:val="nil"/>
                    <w:tr2bl w:val="nil"/>
                  </w:tcBorders>
                  <w:noWrap w:val="0"/>
                  <w:vAlign w:val="center"/>
                </w:tcPr>
                <w:p w14:paraId="291E03B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环境风险</w:t>
                  </w:r>
                </w:p>
              </w:tc>
              <w:tc>
                <w:tcPr>
                  <w:tcW w:w="1849" w:type="pct"/>
                  <w:tcBorders>
                    <w:tl2br w:val="nil"/>
                    <w:tr2bl w:val="nil"/>
                  </w:tcBorders>
                  <w:noWrap w:val="0"/>
                  <w:vAlign w:val="center"/>
                </w:tcPr>
                <w:p w14:paraId="7724699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有毒有害和易燃易爆危险物质存储量超过临界量的建设项目</w:t>
                  </w:r>
                </w:p>
              </w:tc>
              <w:tc>
                <w:tcPr>
                  <w:tcW w:w="1689" w:type="pct"/>
                  <w:tcBorders>
                    <w:tl2br w:val="nil"/>
                    <w:tr2bl w:val="nil"/>
                  </w:tcBorders>
                  <w:noWrap w:val="0"/>
                  <w:vAlign w:val="center"/>
                </w:tcPr>
                <w:p w14:paraId="6FA3998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caps w:val="0"/>
                      <w:color w:val="000000"/>
                      <w:sz w:val="21"/>
                      <w:szCs w:val="21"/>
                      <w:highlight w:val="none"/>
                      <w:lang w:val="en-US" w:eastAsia="zh-CN"/>
                    </w:rPr>
                  </w:pPr>
                  <w:r>
                    <w:rPr>
                      <w:rFonts w:hint="eastAsia" w:ascii="Times New Roman" w:hAnsi="Times New Roman" w:eastAsia="宋体" w:cs="宋体"/>
                      <w:caps w:val="0"/>
                      <w:color w:val="000000"/>
                      <w:kern w:val="0"/>
                      <w:sz w:val="21"/>
                      <w:szCs w:val="21"/>
                      <w:highlight w:val="none"/>
                      <w:lang w:val="en-US" w:eastAsia="zh-CN" w:bidi="ar"/>
                    </w:rPr>
                    <w:t>本项目</w:t>
                  </w:r>
                  <w:r>
                    <w:rPr>
                      <w:rFonts w:hint="eastAsia" w:ascii="Times New Roman" w:hAnsi="Times New Roman" w:eastAsia="宋体" w:cs="宋体"/>
                      <w:caps w:val="0"/>
                      <w:sz w:val="21"/>
                      <w:szCs w:val="21"/>
                      <w:highlight w:val="none"/>
                      <w:lang w:val="en-US" w:eastAsia="zh-CN"/>
                    </w:rPr>
                    <w:t>轻质柴油最大存储量为5t，导热油最大存在量为5t，废机油最大存在量为0.01t，矿物油临界量为2500t，未超过临界量，不需设置环境风险专项评价。</w:t>
                  </w:r>
                </w:p>
              </w:tc>
              <w:tc>
                <w:tcPr>
                  <w:tcW w:w="764" w:type="pct"/>
                  <w:tcBorders>
                    <w:tl2br w:val="nil"/>
                    <w:tr2bl w:val="nil"/>
                  </w:tcBorders>
                  <w:noWrap w:val="0"/>
                  <w:vAlign w:val="center"/>
                </w:tcPr>
                <w:p w14:paraId="0355E40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不需设置</w:t>
                  </w:r>
                </w:p>
              </w:tc>
            </w:tr>
            <w:tr w14:paraId="14FE12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6" w:hRule="atLeast"/>
              </w:trPr>
              <w:tc>
                <w:tcPr>
                  <w:tcW w:w="696" w:type="pct"/>
                  <w:tcBorders>
                    <w:tl2br w:val="nil"/>
                    <w:tr2bl w:val="nil"/>
                  </w:tcBorders>
                  <w:noWrap w:val="0"/>
                  <w:vAlign w:val="center"/>
                </w:tcPr>
                <w:p w14:paraId="7A2D041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生态</w:t>
                  </w:r>
                </w:p>
              </w:tc>
              <w:tc>
                <w:tcPr>
                  <w:tcW w:w="1849" w:type="pct"/>
                  <w:tcBorders>
                    <w:tl2br w:val="nil"/>
                    <w:tr2bl w:val="nil"/>
                  </w:tcBorders>
                  <w:noWrap w:val="0"/>
                  <w:vAlign w:val="center"/>
                </w:tcPr>
                <w:p w14:paraId="6642F73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取水口下游500米范围内有重要水生生物的自然产卵场、索饵场、越冬场和洄游通道的新增河道取水的污染类建设项目</w:t>
                  </w:r>
                </w:p>
              </w:tc>
              <w:tc>
                <w:tcPr>
                  <w:tcW w:w="1689" w:type="pct"/>
                  <w:tcBorders>
                    <w:tl2br w:val="nil"/>
                    <w:tr2bl w:val="nil"/>
                  </w:tcBorders>
                  <w:noWrap w:val="0"/>
                  <w:vAlign w:val="center"/>
                </w:tcPr>
                <w:p w14:paraId="0E76056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本项目不涉及直接从河道取水</w:t>
                  </w:r>
                </w:p>
              </w:tc>
              <w:tc>
                <w:tcPr>
                  <w:tcW w:w="764" w:type="pct"/>
                  <w:tcBorders>
                    <w:tl2br w:val="nil"/>
                    <w:tr2bl w:val="nil"/>
                  </w:tcBorders>
                  <w:noWrap w:val="0"/>
                  <w:vAlign w:val="center"/>
                </w:tcPr>
                <w:p w14:paraId="68BA095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不需设置</w:t>
                  </w:r>
                </w:p>
              </w:tc>
            </w:tr>
            <w:tr w14:paraId="58EA2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96" w:type="pct"/>
                  <w:tcBorders>
                    <w:tl2br w:val="nil"/>
                    <w:tr2bl w:val="nil"/>
                  </w:tcBorders>
                  <w:noWrap w:val="0"/>
                  <w:vAlign w:val="center"/>
                </w:tcPr>
                <w:p w14:paraId="687D7EA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海洋</w:t>
                  </w:r>
                </w:p>
              </w:tc>
              <w:tc>
                <w:tcPr>
                  <w:tcW w:w="1849" w:type="pct"/>
                  <w:tcBorders>
                    <w:tl2br w:val="nil"/>
                    <w:tr2bl w:val="nil"/>
                  </w:tcBorders>
                  <w:noWrap w:val="0"/>
                  <w:vAlign w:val="center"/>
                </w:tcPr>
                <w:p w14:paraId="540FF38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直接向海排放污染物的海洋工程建设项目</w:t>
                  </w:r>
                </w:p>
              </w:tc>
              <w:tc>
                <w:tcPr>
                  <w:tcW w:w="1689" w:type="pct"/>
                  <w:tcBorders>
                    <w:tl2br w:val="nil"/>
                    <w:tr2bl w:val="nil"/>
                  </w:tcBorders>
                  <w:noWrap w:val="0"/>
                  <w:vAlign w:val="center"/>
                </w:tcPr>
                <w:p w14:paraId="028735E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本项目不涉及直接向海排放污染物</w:t>
                  </w:r>
                </w:p>
              </w:tc>
              <w:tc>
                <w:tcPr>
                  <w:tcW w:w="764" w:type="pct"/>
                  <w:tcBorders>
                    <w:tl2br w:val="nil"/>
                    <w:tr2bl w:val="nil"/>
                  </w:tcBorders>
                  <w:noWrap w:val="0"/>
                  <w:vAlign w:val="center"/>
                </w:tcPr>
                <w:p w14:paraId="794FEAA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caps w:val="0"/>
                      <w:color w:val="000000"/>
                      <w:sz w:val="21"/>
                      <w:szCs w:val="21"/>
                      <w:highlight w:val="none"/>
                    </w:rPr>
                  </w:pPr>
                  <w:r>
                    <w:rPr>
                      <w:rFonts w:hint="eastAsia" w:ascii="Times New Roman" w:hAnsi="Times New Roman" w:eastAsia="宋体" w:cs="宋体"/>
                      <w:caps w:val="0"/>
                      <w:color w:val="000000"/>
                      <w:kern w:val="0"/>
                      <w:sz w:val="21"/>
                      <w:szCs w:val="21"/>
                      <w:highlight w:val="none"/>
                      <w:lang w:bidi="ar"/>
                    </w:rPr>
                    <w:t>不需设置</w:t>
                  </w:r>
                </w:p>
              </w:tc>
            </w:tr>
          </w:tbl>
          <w:p w14:paraId="7C893967">
            <w:pPr>
              <w:spacing w:line="240" w:lineRule="auto"/>
              <w:ind w:firstLine="0" w:firstLineChars="0"/>
              <w:jc w:val="center"/>
              <w:rPr>
                <w:rFonts w:hint="eastAsia" w:ascii="Times New Roman" w:hAnsi="Times New Roman" w:eastAsia="宋体" w:cs="宋体"/>
                <w:caps w:val="0"/>
                <w:spacing w:val="0"/>
                <w:kern w:val="0"/>
                <w:sz w:val="24"/>
                <w:szCs w:val="24"/>
                <w:highlight w:val="none"/>
              </w:rPr>
            </w:pPr>
            <w:r>
              <w:rPr>
                <w:rFonts w:hint="eastAsia" w:ascii="Times New Roman" w:hAnsi="Times New Roman" w:eastAsia="宋体" w:cs="宋体"/>
                <w:caps w:val="0"/>
                <w:kern w:val="0"/>
                <w:sz w:val="24"/>
                <w:highlight w:val="none"/>
                <w:lang w:bidi="ar"/>
              </w:rPr>
              <w:t>根据上表分析可知，本项目无需开展专项评价工作。</w:t>
            </w:r>
          </w:p>
        </w:tc>
      </w:tr>
      <w:tr w14:paraId="398927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exact"/>
          <w:jc w:val="center"/>
        </w:trPr>
        <w:tc>
          <w:tcPr>
            <w:tcW w:w="704" w:type="dxa"/>
            <w:noWrap w:val="0"/>
            <w:vAlign w:val="center"/>
          </w:tcPr>
          <w:p w14:paraId="5FF46C37">
            <w:pPr>
              <w:spacing w:line="240" w:lineRule="auto"/>
              <w:ind w:firstLine="0" w:firstLineChars="0"/>
              <w:jc w:val="center"/>
              <w:rPr>
                <w:rFonts w:hint="eastAsia" w:ascii="Times New Roman" w:hAnsi="Times New Roman" w:eastAsia="宋体" w:cs="宋体"/>
                <w:caps w:val="0"/>
                <w:spacing w:val="0"/>
                <w:kern w:val="0"/>
                <w:sz w:val="24"/>
                <w:szCs w:val="24"/>
                <w:highlight w:val="none"/>
              </w:rPr>
            </w:pPr>
            <w:r>
              <w:rPr>
                <w:rFonts w:hint="eastAsia" w:ascii="Times New Roman" w:hAnsi="Times New Roman" w:eastAsia="宋体" w:cs="宋体"/>
                <w:caps w:val="0"/>
                <w:spacing w:val="0"/>
                <w:sz w:val="24"/>
                <w:szCs w:val="24"/>
                <w:highlight w:val="none"/>
              </w:rPr>
              <w:t>规划情况</w:t>
            </w:r>
          </w:p>
        </w:tc>
        <w:tc>
          <w:tcPr>
            <w:tcW w:w="7772" w:type="dxa"/>
            <w:gridSpan w:val="4"/>
            <w:noWrap w:val="0"/>
            <w:vAlign w:val="center"/>
          </w:tcPr>
          <w:p w14:paraId="4A90B0F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宋体"/>
                <w:caps w:val="0"/>
                <w:highlight w:val="none"/>
                <w:lang w:val="en-US" w:eastAsia="zh-CN"/>
              </w:rPr>
            </w:pPr>
            <w:r>
              <w:rPr>
                <w:rFonts w:hint="eastAsia" w:ascii="Times New Roman" w:hAnsi="Times New Roman" w:eastAsia="宋体" w:cs="宋体"/>
                <w:caps w:val="0"/>
                <w:highlight w:val="none"/>
                <w:lang w:val="en-US" w:eastAsia="zh-CN"/>
              </w:rPr>
              <w:t>无</w:t>
            </w:r>
          </w:p>
        </w:tc>
      </w:tr>
      <w:tr w14:paraId="7DC756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693" w:hRule="atLeast"/>
          <w:jc w:val="center"/>
        </w:trPr>
        <w:tc>
          <w:tcPr>
            <w:tcW w:w="704" w:type="dxa"/>
            <w:noWrap w:val="0"/>
            <w:vAlign w:val="center"/>
          </w:tcPr>
          <w:p w14:paraId="5EF8ACD2">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规划环境影响</w:t>
            </w:r>
          </w:p>
          <w:p w14:paraId="6B5ABCE6">
            <w:pPr>
              <w:spacing w:line="240" w:lineRule="auto"/>
              <w:ind w:firstLine="0" w:firstLineChars="0"/>
              <w:jc w:val="center"/>
              <w:rPr>
                <w:rFonts w:hint="eastAsia" w:ascii="Times New Roman" w:hAnsi="Times New Roman" w:eastAsia="宋体" w:cs="宋体"/>
                <w:caps w:val="0"/>
                <w:spacing w:val="0"/>
                <w:kern w:val="0"/>
                <w:sz w:val="24"/>
                <w:szCs w:val="24"/>
                <w:highlight w:val="none"/>
              </w:rPr>
            </w:pPr>
            <w:r>
              <w:rPr>
                <w:rFonts w:hint="eastAsia" w:ascii="Times New Roman" w:hAnsi="Times New Roman" w:eastAsia="宋体" w:cs="宋体"/>
                <w:caps w:val="0"/>
                <w:spacing w:val="0"/>
                <w:sz w:val="24"/>
                <w:szCs w:val="24"/>
                <w:highlight w:val="none"/>
              </w:rPr>
              <w:t>评价情况</w:t>
            </w:r>
          </w:p>
        </w:tc>
        <w:tc>
          <w:tcPr>
            <w:tcW w:w="7772" w:type="dxa"/>
            <w:gridSpan w:val="4"/>
            <w:noWrap w:val="0"/>
            <w:vAlign w:val="center"/>
          </w:tcPr>
          <w:p w14:paraId="34A7939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4"/>
                <w:szCs w:val="24"/>
                <w:highlight w:val="none"/>
                <w:lang w:val="en-US" w:eastAsia="zh-CN"/>
              </w:rPr>
            </w:pPr>
            <w:r>
              <w:rPr>
                <w:rFonts w:hint="eastAsia" w:ascii="Times New Roman" w:hAnsi="Times New Roman" w:eastAsia="宋体" w:cs="宋体"/>
                <w:caps w:val="0"/>
                <w:color w:val="auto"/>
                <w:spacing w:val="0"/>
                <w:kern w:val="0"/>
                <w:sz w:val="24"/>
                <w:szCs w:val="24"/>
                <w:highlight w:val="none"/>
                <w:lang w:val="en-US" w:eastAsia="zh-CN"/>
              </w:rPr>
              <w:t>无</w:t>
            </w:r>
          </w:p>
        </w:tc>
      </w:tr>
      <w:tr w14:paraId="1F1946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atLeast"/>
          <w:jc w:val="center"/>
        </w:trPr>
        <w:tc>
          <w:tcPr>
            <w:tcW w:w="704" w:type="dxa"/>
            <w:noWrap w:val="0"/>
            <w:vAlign w:val="center"/>
          </w:tcPr>
          <w:p w14:paraId="6740A79A">
            <w:pPr>
              <w:spacing w:line="240" w:lineRule="auto"/>
              <w:ind w:firstLine="0" w:firstLineChars="0"/>
              <w:jc w:val="center"/>
              <w:rPr>
                <w:rFonts w:hint="eastAsia" w:ascii="Times New Roman" w:hAnsi="Times New Roman" w:eastAsia="宋体" w:cs="宋体"/>
                <w:caps w:val="0"/>
                <w:spacing w:val="0"/>
                <w:kern w:val="0"/>
                <w:sz w:val="24"/>
                <w:szCs w:val="24"/>
                <w:highlight w:val="none"/>
              </w:rPr>
            </w:pPr>
            <w:r>
              <w:rPr>
                <w:rFonts w:hint="eastAsia" w:ascii="Times New Roman" w:hAnsi="Times New Roman" w:eastAsia="宋体" w:cs="宋体"/>
                <w:caps w:val="0"/>
                <w:spacing w:val="0"/>
                <w:kern w:val="0"/>
                <w:sz w:val="24"/>
                <w:szCs w:val="24"/>
                <w:highlight w:val="none"/>
              </w:rPr>
              <w:t>规划及规划环境影响评价符合性分析</w:t>
            </w:r>
          </w:p>
        </w:tc>
        <w:tc>
          <w:tcPr>
            <w:tcW w:w="7772" w:type="dxa"/>
            <w:gridSpan w:val="4"/>
            <w:noWrap w:val="0"/>
            <w:vAlign w:val="center"/>
          </w:tcPr>
          <w:p w14:paraId="7602375F">
            <w:pPr>
              <w:keepNext w:val="0"/>
              <w:keepLines w:val="0"/>
              <w:pageBreakBefore w:val="0"/>
              <w:widowControl w:val="0"/>
              <w:kinsoku/>
              <w:wordWrap/>
              <w:overflowPunct/>
              <w:topLinePunct w:val="0"/>
              <w:bidi w:val="0"/>
              <w:adjustRightInd w:val="0"/>
              <w:snapToGrid w:val="0"/>
              <w:spacing w:line="360" w:lineRule="auto"/>
              <w:ind w:firstLine="0" w:firstLineChars="0"/>
              <w:jc w:val="center"/>
              <w:textAlignment w:val="auto"/>
              <w:rPr>
                <w:rFonts w:hint="default" w:ascii="Times New Roman" w:hAnsi="Times New Roman" w:eastAsia="宋体" w:cs="宋体"/>
                <w:caps w:val="0"/>
                <w:highlight w:val="none"/>
                <w:lang w:val="en-US" w:eastAsia="zh-CN"/>
              </w:rPr>
            </w:pPr>
            <w:r>
              <w:rPr>
                <w:rFonts w:hint="eastAsia" w:ascii="Times New Roman" w:hAnsi="Times New Roman" w:eastAsia="宋体" w:cs="宋体"/>
                <w:caps w:val="0"/>
                <w:color w:val="auto"/>
                <w:spacing w:val="0"/>
                <w:kern w:val="0"/>
                <w:sz w:val="24"/>
                <w:szCs w:val="24"/>
                <w:highlight w:val="none"/>
                <w:lang w:val="en-US" w:eastAsia="zh-CN"/>
              </w:rPr>
              <w:t>无</w:t>
            </w:r>
          </w:p>
        </w:tc>
      </w:tr>
      <w:tr w14:paraId="64FE73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416" w:hRule="atLeast"/>
          <w:jc w:val="center"/>
        </w:trPr>
        <w:tc>
          <w:tcPr>
            <w:tcW w:w="704" w:type="dxa"/>
            <w:noWrap w:val="0"/>
            <w:vAlign w:val="center"/>
          </w:tcPr>
          <w:p w14:paraId="660833EC">
            <w:pPr>
              <w:spacing w:line="240" w:lineRule="auto"/>
              <w:ind w:firstLine="0" w:firstLineChars="0"/>
              <w:jc w:val="center"/>
              <w:rPr>
                <w:rFonts w:hint="eastAsia" w:ascii="Times New Roman" w:hAnsi="Times New Roman" w:eastAsia="宋体" w:cs="宋体"/>
                <w:caps w:val="0"/>
                <w:spacing w:val="0"/>
                <w:kern w:val="0"/>
                <w:sz w:val="24"/>
                <w:szCs w:val="24"/>
                <w:highlight w:val="none"/>
              </w:rPr>
            </w:pPr>
            <w:r>
              <w:rPr>
                <w:rFonts w:hint="eastAsia" w:ascii="Times New Roman" w:hAnsi="Times New Roman" w:eastAsia="宋体" w:cs="宋体"/>
                <w:caps w:val="0"/>
                <w:spacing w:val="0"/>
                <w:kern w:val="0"/>
                <w:sz w:val="24"/>
                <w:szCs w:val="24"/>
                <w:highlight w:val="none"/>
              </w:rPr>
              <w:t>其他符合性分析</w:t>
            </w:r>
          </w:p>
        </w:tc>
        <w:tc>
          <w:tcPr>
            <w:tcW w:w="7772" w:type="dxa"/>
            <w:gridSpan w:val="4"/>
            <w:tcBorders>
              <w:bottom w:val="single" w:color="auto" w:sz="4" w:space="0"/>
              <w:right w:val="single" w:color="auto" w:sz="4" w:space="0"/>
            </w:tcBorders>
            <w:noWrap w:val="0"/>
            <w:vAlign w:val="center"/>
          </w:tcPr>
          <w:p w14:paraId="2C7C7704">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1.生态环境分区管控符合性分析符合性分析</w:t>
            </w:r>
          </w:p>
          <w:p w14:paraId="44E01A63">
            <w:pPr>
              <w:keepNext w:val="0"/>
              <w:keepLines w:val="0"/>
              <w:pageBreakBefore w:val="0"/>
              <w:widowControl w:val="0"/>
              <w:numPr>
                <w:ilvl w:val="0"/>
                <w:numId w:val="0"/>
              </w:numPr>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szCs w:val="24"/>
                <w:highlight w:val="none"/>
              </w:rPr>
            </w:pPr>
            <w:r>
              <w:rPr>
                <w:rFonts w:hint="eastAsia" w:ascii="Times New Roman" w:hAnsi="Times New Roman" w:eastAsia="宋体" w:cs="宋体"/>
                <w:caps w:val="0"/>
                <w:color w:val="auto"/>
                <w:spacing w:val="0"/>
                <w:sz w:val="24"/>
                <w:szCs w:val="24"/>
                <w:highlight w:val="none"/>
              </w:rPr>
              <w:t>生态空间包括生态保护红线和一般生态空间，生态保护红线及一般生态空间均属于优先保护单元。本项目位于</w:t>
            </w:r>
            <w:r>
              <w:rPr>
                <w:rFonts w:hint="eastAsia" w:ascii="Times New Roman" w:hAnsi="Times New Roman" w:cs="宋体"/>
                <w:caps w:val="0"/>
                <w:spacing w:val="0"/>
                <w:sz w:val="24"/>
                <w:szCs w:val="24"/>
                <w:highlight w:val="none"/>
                <w:lang w:val="en-US" w:eastAsia="zh-CN"/>
              </w:rPr>
              <w:t>黑龙江省鸡西市梨树区穆棱矿区双建委</w:t>
            </w:r>
            <w:r>
              <w:rPr>
                <w:rFonts w:hint="eastAsia" w:ascii="Times New Roman" w:hAnsi="Times New Roman" w:eastAsia="宋体" w:cs="宋体"/>
                <w:caps w:val="0"/>
                <w:spacing w:val="0"/>
                <w:sz w:val="24"/>
                <w:szCs w:val="24"/>
                <w:highlight w:val="none"/>
                <w:lang w:val="en-US" w:eastAsia="zh-CN"/>
              </w:rPr>
              <w:t>（鸡西市燎盛新材料科技有限公司院内）</w:t>
            </w:r>
            <w:r>
              <w:rPr>
                <w:rFonts w:hint="eastAsia" w:ascii="Times New Roman" w:hAnsi="Times New Roman" w:eastAsia="宋体" w:cs="宋体"/>
                <w:caps w:val="0"/>
                <w:color w:val="auto"/>
                <w:spacing w:val="0"/>
                <w:sz w:val="24"/>
                <w:szCs w:val="24"/>
                <w:highlight w:val="none"/>
              </w:rPr>
              <w:t>，与</w:t>
            </w:r>
            <w:r>
              <w:rPr>
                <w:rFonts w:hint="eastAsia" w:ascii="Times New Roman" w:hAnsi="Times New Roman" w:eastAsia="宋体" w:cs="宋体"/>
                <w:caps w:val="0"/>
                <w:color w:val="auto"/>
                <w:spacing w:val="0"/>
                <w:sz w:val="24"/>
                <w:szCs w:val="24"/>
                <w:highlight w:val="none"/>
                <w:lang w:val="en-US" w:eastAsia="zh-CN"/>
              </w:rPr>
              <w:t>鸡西市市</w:t>
            </w:r>
            <w:r>
              <w:rPr>
                <w:rFonts w:hint="eastAsia" w:ascii="Times New Roman" w:hAnsi="Times New Roman" w:eastAsia="宋体" w:cs="宋体"/>
                <w:caps w:val="0"/>
                <w:color w:val="auto"/>
                <w:spacing w:val="0"/>
                <w:sz w:val="24"/>
                <w:szCs w:val="24"/>
                <w:highlight w:val="none"/>
              </w:rPr>
              <w:t>环境管控单元图对照，本项目所在区域不属于优先保护单元。选址位置处无自然保护区、风景旅游区、文物保护区及珍稀动物保护区等敏感因素。</w:t>
            </w:r>
          </w:p>
          <w:p w14:paraId="0E379BE2">
            <w:pP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color w:val="auto"/>
                <w:spacing w:val="0"/>
                <w:sz w:val="24"/>
                <w:szCs w:val="24"/>
                <w:highlight w:val="none"/>
                <w:lang w:eastAsia="zh-CN"/>
              </w:rPr>
              <w:t>“</w:t>
            </w:r>
            <w:r>
              <w:rPr>
                <w:rFonts w:hint="eastAsia" w:ascii="Times New Roman" w:hAnsi="Times New Roman" w:eastAsia="宋体" w:cs="宋体"/>
                <w:caps w:val="0"/>
                <w:color w:val="auto"/>
                <w:spacing w:val="0"/>
                <w:sz w:val="24"/>
                <w:szCs w:val="24"/>
                <w:highlight w:val="none"/>
              </w:rPr>
              <w:t>三区三线</w:t>
            </w:r>
            <w:r>
              <w:rPr>
                <w:rFonts w:hint="eastAsia" w:ascii="Times New Roman" w:hAnsi="Times New Roman" w:eastAsia="宋体" w:cs="宋体"/>
                <w:caps w:val="0"/>
                <w:color w:val="auto"/>
                <w:spacing w:val="0"/>
                <w:sz w:val="24"/>
                <w:szCs w:val="24"/>
                <w:highlight w:val="none"/>
                <w:lang w:eastAsia="zh-CN"/>
              </w:rPr>
              <w:t>”</w:t>
            </w:r>
            <w:r>
              <w:rPr>
                <w:rFonts w:hint="eastAsia" w:ascii="Times New Roman" w:hAnsi="Times New Roman" w:eastAsia="宋体" w:cs="宋体"/>
                <w:caps w:val="0"/>
                <w:color w:val="auto"/>
                <w:spacing w:val="0"/>
                <w:sz w:val="24"/>
                <w:szCs w:val="24"/>
                <w:highlight w:val="none"/>
              </w:rPr>
              <w:t>中，三区是指农业空间、生态空间、城镇空间三种类型的国土空间</w:t>
            </w:r>
            <w:r>
              <w:rPr>
                <w:rFonts w:hint="eastAsia" w:ascii="Times New Roman" w:hAnsi="Times New Roman" w:eastAsia="宋体" w:cs="宋体"/>
                <w:caps w:val="0"/>
                <w:color w:val="auto"/>
                <w:spacing w:val="0"/>
                <w:sz w:val="24"/>
                <w:szCs w:val="24"/>
                <w:highlight w:val="none"/>
                <w:lang w:eastAsia="zh-CN"/>
              </w:rPr>
              <w:t>：</w:t>
            </w:r>
            <w:r>
              <w:rPr>
                <w:rFonts w:hint="eastAsia" w:ascii="Times New Roman" w:hAnsi="Times New Roman" w:eastAsia="宋体" w:cs="宋体"/>
                <w:caps w:val="0"/>
                <w:color w:val="auto"/>
                <w:spacing w:val="0"/>
                <w:sz w:val="24"/>
                <w:szCs w:val="24"/>
                <w:highlight w:val="none"/>
              </w:rPr>
              <w:t>三线分别对应在农业空间、生态空间、城镇空间划定的永久基本农田保护红线、生态保护红线和城镇开发边界三条控制线。黑龙江省</w:t>
            </w:r>
            <w:r>
              <w:rPr>
                <w:rFonts w:hint="eastAsia" w:ascii="Times New Roman" w:hAnsi="Times New Roman" w:eastAsia="宋体" w:cs="宋体"/>
                <w:caps w:val="0"/>
                <w:color w:val="auto"/>
                <w:spacing w:val="0"/>
                <w:sz w:val="24"/>
                <w:szCs w:val="24"/>
                <w:highlight w:val="none"/>
                <w:lang w:eastAsia="zh-CN"/>
              </w:rPr>
              <w:t>“</w:t>
            </w:r>
            <w:r>
              <w:rPr>
                <w:rFonts w:hint="eastAsia" w:ascii="Times New Roman" w:hAnsi="Times New Roman" w:eastAsia="宋体" w:cs="宋体"/>
                <w:caps w:val="0"/>
                <w:color w:val="auto"/>
                <w:spacing w:val="0"/>
                <w:sz w:val="24"/>
                <w:szCs w:val="24"/>
                <w:highlight w:val="none"/>
              </w:rPr>
              <w:t>三区三线</w:t>
            </w:r>
            <w:r>
              <w:rPr>
                <w:rFonts w:hint="eastAsia" w:ascii="Times New Roman" w:hAnsi="Times New Roman" w:eastAsia="宋体" w:cs="宋体"/>
                <w:caps w:val="0"/>
                <w:color w:val="auto"/>
                <w:spacing w:val="0"/>
                <w:sz w:val="24"/>
                <w:szCs w:val="24"/>
                <w:highlight w:val="none"/>
                <w:lang w:eastAsia="zh-CN"/>
              </w:rPr>
              <w:t>”</w:t>
            </w:r>
            <w:r>
              <w:rPr>
                <w:rFonts w:hint="eastAsia" w:ascii="Times New Roman" w:hAnsi="Times New Roman" w:eastAsia="宋体" w:cs="宋体"/>
                <w:caps w:val="0"/>
                <w:color w:val="auto"/>
                <w:spacing w:val="0"/>
                <w:sz w:val="24"/>
                <w:szCs w:val="24"/>
                <w:highlight w:val="none"/>
              </w:rPr>
              <w:t>划定成果通过自然资源部质检，并于11月1日经自然资源部正式批准启用。根据</w:t>
            </w:r>
            <w:r>
              <w:rPr>
                <w:rFonts w:ascii="Times New Roman" w:hAnsi="Times New Roman" w:eastAsia="宋体" w:cs="宋体"/>
                <w:bCs/>
                <w:caps w:val="0"/>
                <w:kern w:val="21"/>
                <w:sz w:val="24"/>
                <w:highlight w:val="none"/>
              </w:rPr>
              <w:t>《鸡西市人民政府关于实施</w:t>
            </w:r>
            <w:r>
              <w:rPr>
                <w:rFonts w:hint="eastAsia" w:ascii="Times New Roman" w:hAnsi="Times New Roman" w:eastAsia="宋体" w:cs="宋体"/>
                <w:bCs/>
                <w:caps w:val="0"/>
                <w:kern w:val="21"/>
                <w:sz w:val="24"/>
                <w:highlight w:val="none"/>
                <w:lang w:eastAsia="zh-CN"/>
              </w:rPr>
              <w:t>“</w:t>
            </w:r>
            <w:r>
              <w:rPr>
                <w:rFonts w:ascii="Times New Roman" w:hAnsi="Times New Roman" w:eastAsia="宋体" w:cs="宋体"/>
                <w:bCs/>
                <w:caps w:val="0"/>
                <w:kern w:val="21"/>
                <w:sz w:val="24"/>
                <w:highlight w:val="none"/>
              </w:rPr>
              <w:t>三线一单</w:t>
            </w:r>
            <w:r>
              <w:rPr>
                <w:rFonts w:hint="eastAsia" w:ascii="Times New Roman" w:hAnsi="Times New Roman" w:eastAsia="宋体" w:cs="宋体"/>
                <w:bCs/>
                <w:caps w:val="0"/>
                <w:kern w:val="21"/>
                <w:sz w:val="24"/>
                <w:highlight w:val="none"/>
                <w:lang w:eastAsia="zh-CN"/>
              </w:rPr>
              <w:t>”</w:t>
            </w:r>
            <w:r>
              <w:rPr>
                <w:rFonts w:ascii="Times New Roman" w:hAnsi="Times New Roman" w:eastAsia="宋体" w:cs="宋体"/>
                <w:bCs/>
                <w:caps w:val="0"/>
                <w:kern w:val="21"/>
                <w:sz w:val="24"/>
                <w:highlight w:val="none"/>
              </w:rPr>
              <w:t>生态环境分区管控的意见》（鸡政发</w:t>
            </w:r>
            <w:r>
              <w:rPr>
                <w:rFonts w:hint="eastAsia" w:ascii="Times New Roman" w:hAnsi="Times New Roman" w:eastAsia="宋体" w:cs="宋体"/>
                <w:caps w:val="0"/>
                <w:color w:val="auto"/>
                <w:spacing w:val="0"/>
                <w:sz w:val="24"/>
                <w:szCs w:val="24"/>
                <w:highlight w:val="none"/>
                <w:lang w:eastAsia="zh-CN"/>
              </w:rPr>
              <w:t>〔</w:t>
            </w:r>
            <w:r>
              <w:rPr>
                <w:rFonts w:ascii="Times New Roman" w:hAnsi="Times New Roman" w:eastAsia="宋体" w:cs="宋体"/>
                <w:bCs/>
                <w:caps w:val="0"/>
                <w:kern w:val="21"/>
                <w:sz w:val="24"/>
                <w:highlight w:val="none"/>
              </w:rPr>
              <w:t>2021</w:t>
            </w:r>
            <w:r>
              <w:rPr>
                <w:rFonts w:hint="eastAsia" w:ascii="Times New Roman" w:hAnsi="Times New Roman" w:eastAsia="宋体" w:cs="宋体"/>
                <w:caps w:val="0"/>
                <w:color w:val="auto"/>
                <w:spacing w:val="0"/>
                <w:sz w:val="24"/>
                <w:szCs w:val="24"/>
                <w:highlight w:val="none"/>
                <w:lang w:eastAsia="zh-CN"/>
              </w:rPr>
              <w:t>〕</w:t>
            </w:r>
            <w:r>
              <w:rPr>
                <w:rFonts w:ascii="Times New Roman" w:hAnsi="Times New Roman" w:eastAsia="宋体" w:cs="宋体"/>
                <w:bCs/>
                <w:caps w:val="0"/>
                <w:kern w:val="21"/>
                <w:sz w:val="24"/>
                <w:highlight w:val="none"/>
              </w:rPr>
              <w:t>7号）</w:t>
            </w:r>
            <w:r>
              <w:rPr>
                <w:rFonts w:hint="eastAsia" w:ascii="Times New Roman" w:hAnsi="Times New Roman" w:eastAsia="宋体" w:cs="宋体"/>
                <w:caps w:val="0"/>
                <w:color w:val="auto"/>
                <w:spacing w:val="0"/>
                <w:sz w:val="24"/>
                <w:szCs w:val="24"/>
                <w:highlight w:val="none"/>
              </w:rPr>
              <w:t>和《自然资源部办公厅关于依据</w:t>
            </w:r>
            <w:r>
              <w:rPr>
                <w:rFonts w:hint="eastAsia" w:ascii="Times New Roman" w:hAnsi="Times New Roman" w:eastAsia="宋体" w:cs="宋体"/>
                <w:caps w:val="0"/>
                <w:color w:val="auto"/>
                <w:spacing w:val="0"/>
                <w:sz w:val="24"/>
                <w:szCs w:val="24"/>
                <w:highlight w:val="none"/>
                <w:lang w:eastAsia="zh-CN"/>
              </w:rPr>
              <w:t>“</w:t>
            </w:r>
            <w:r>
              <w:rPr>
                <w:rFonts w:hint="eastAsia" w:ascii="Times New Roman" w:hAnsi="Times New Roman" w:eastAsia="宋体" w:cs="宋体"/>
                <w:caps w:val="0"/>
                <w:color w:val="auto"/>
                <w:spacing w:val="0"/>
                <w:sz w:val="24"/>
                <w:szCs w:val="24"/>
                <w:highlight w:val="none"/>
              </w:rPr>
              <w:t>三区三线</w:t>
            </w:r>
            <w:r>
              <w:rPr>
                <w:rFonts w:hint="eastAsia" w:ascii="Times New Roman" w:hAnsi="Times New Roman" w:eastAsia="宋体" w:cs="宋体"/>
                <w:caps w:val="0"/>
                <w:color w:val="auto"/>
                <w:spacing w:val="0"/>
                <w:sz w:val="24"/>
                <w:szCs w:val="24"/>
                <w:highlight w:val="none"/>
                <w:lang w:val="en-US" w:eastAsia="zh-CN"/>
              </w:rPr>
              <w:t>”</w:t>
            </w:r>
            <w:r>
              <w:rPr>
                <w:rFonts w:hint="eastAsia" w:ascii="Times New Roman" w:hAnsi="Times New Roman" w:eastAsia="宋体" w:cs="宋体"/>
                <w:caps w:val="0"/>
                <w:color w:val="auto"/>
                <w:spacing w:val="0"/>
                <w:sz w:val="24"/>
                <w:szCs w:val="24"/>
                <w:highlight w:val="none"/>
              </w:rPr>
              <w:t>划定成果报批建设项目用地用海有关事宜的函》</w:t>
            </w:r>
            <w:r>
              <w:rPr>
                <w:rFonts w:hint="eastAsia" w:ascii="Times New Roman" w:hAnsi="Times New Roman" w:eastAsia="宋体" w:cs="宋体"/>
                <w:caps w:val="0"/>
                <w:color w:val="auto"/>
                <w:spacing w:val="0"/>
                <w:sz w:val="24"/>
                <w:szCs w:val="24"/>
                <w:highlight w:val="none"/>
                <w:lang w:val="en-US" w:eastAsia="zh-CN"/>
              </w:rPr>
              <w:t>（</w:t>
            </w:r>
            <w:r>
              <w:rPr>
                <w:rFonts w:hint="eastAsia" w:ascii="Times New Roman" w:hAnsi="Times New Roman" w:eastAsia="宋体" w:cs="宋体"/>
                <w:caps w:val="0"/>
                <w:color w:val="auto"/>
                <w:spacing w:val="0"/>
                <w:sz w:val="24"/>
                <w:szCs w:val="24"/>
                <w:highlight w:val="none"/>
              </w:rPr>
              <w:t>自然资办函</w:t>
            </w:r>
            <w:r>
              <w:rPr>
                <w:rFonts w:hint="eastAsia" w:ascii="Times New Roman" w:hAnsi="Times New Roman" w:eastAsia="宋体" w:cs="宋体"/>
                <w:caps w:val="0"/>
                <w:color w:val="auto"/>
                <w:spacing w:val="0"/>
                <w:sz w:val="24"/>
                <w:szCs w:val="24"/>
                <w:highlight w:val="none"/>
                <w:lang w:eastAsia="zh-CN"/>
              </w:rPr>
              <w:t>〔2022〕2072号）</w:t>
            </w:r>
            <w:r>
              <w:rPr>
                <w:rFonts w:hint="eastAsia" w:ascii="Times New Roman" w:hAnsi="Times New Roman" w:eastAsia="宋体" w:cs="宋体"/>
                <w:caps w:val="0"/>
                <w:color w:val="auto"/>
                <w:spacing w:val="0"/>
                <w:sz w:val="24"/>
                <w:szCs w:val="24"/>
                <w:highlight w:val="none"/>
              </w:rPr>
              <w:t>文件及附图，本项目所在地不在生态空间内，同时也不在生态红线内。综上所述，本项目满足生态保护红线要求</w:t>
            </w:r>
            <w:r>
              <w:rPr>
                <w:rFonts w:hint="eastAsia" w:ascii="Times New Roman" w:hAnsi="Times New Roman" w:eastAsia="宋体" w:cs="宋体"/>
                <w:caps w:val="0"/>
                <w:color w:val="auto"/>
                <w:spacing w:val="0"/>
                <w:sz w:val="24"/>
                <w:szCs w:val="24"/>
                <w:highlight w:val="none"/>
                <w:lang w:eastAsia="zh-CN"/>
              </w:rPr>
              <w:t>。</w:t>
            </w:r>
          </w:p>
          <w:p w14:paraId="188C67DE">
            <w:pPr>
              <w:numPr>
                <w:ilvl w:val="0"/>
                <w:numId w:val="3"/>
              </w:numPr>
              <w:adjustRightInd w:val="0"/>
              <w:snapToGrid w:val="0"/>
              <w:spacing w:line="360" w:lineRule="auto"/>
              <w:ind w:firstLine="480" w:firstLineChars="200"/>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环境质量底线</w:t>
            </w:r>
          </w:p>
          <w:p w14:paraId="42F6BA83">
            <w:pPr>
              <w:adjustRightInd w:val="0"/>
              <w:snapToGrid w:val="0"/>
              <w:spacing w:line="360" w:lineRule="auto"/>
              <w:ind w:firstLine="480" w:firstLineChars="200"/>
              <w:jc w:val="left"/>
              <w:rPr>
                <w:rFonts w:hint="eastAsia" w:ascii="Times New Roman" w:hAnsi="Times New Roman" w:eastAsia="宋体" w:cs="宋体"/>
                <w:iCs/>
                <w:caps w:val="0"/>
                <w:spacing w:val="0"/>
                <w:sz w:val="24"/>
                <w:highlight w:val="none"/>
              </w:rPr>
            </w:pPr>
            <w:r>
              <w:rPr>
                <w:rFonts w:hint="eastAsia" w:ascii="Times New Roman" w:hAnsi="Times New Roman" w:eastAsia="宋体" w:cs="宋体"/>
                <w:caps w:val="0"/>
                <w:spacing w:val="0"/>
                <w:highlight w:val="none"/>
              </w:rPr>
              <w:t>根据《</w:t>
            </w:r>
            <w:r>
              <w:rPr>
                <w:rFonts w:hint="eastAsia" w:ascii="Times New Roman" w:hAnsi="Times New Roman" w:cs="宋体"/>
                <w:caps w:val="0"/>
                <w:spacing w:val="0"/>
                <w:highlight w:val="none"/>
                <w:lang w:eastAsia="zh-CN"/>
              </w:rPr>
              <w:t>2025年黑龙江省生态环境质量状况</w:t>
            </w:r>
            <w:r>
              <w:rPr>
                <w:rFonts w:hint="eastAsia" w:ascii="Times New Roman" w:hAnsi="Times New Roman" w:eastAsia="宋体" w:cs="宋体"/>
                <w:caps w:val="0"/>
                <w:spacing w:val="0"/>
                <w:highlight w:val="none"/>
              </w:rPr>
              <w:t>》，鸡西市空气质量级别达二级标准</w:t>
            </w:r>
            <w:r>
              <w:rPr>
                <w:rFonts w:hint="eastAsia" w:ascii="Times New Roman" w:hAnsi="Times New Roman" w:eastAsia="宋体" w:cs="宋体"/>
                <w:caps w:val="0"/>
                <w:spacing w:val="0"/>
                <w:highlight w:val="none"/>
                <w:lang w:eastAsia="zh-CN"/>
              </w:rPr>
              <w:t>，</w:t>
            </w:r>
            <w:r>
              <w:rPr>
                <w:rFonts w:hint="eastAsia" w:ascii="Times New Roman" w:hAnsi="Times New Roman" w:eastAsia="宋体" w:cs="宋体"/>
                <w:caps w:val="0"/>
                <w:spacing w:val="0"/>
                <w:highlight w:val="none"/>
                <w:lang w:val="en-US" w:eastAsia="zh-CN"/>
              </w:rPr>
              <w:t>项目所在区域为达标区</w:t>
            </w:r>
            <w:r>
              <w:rPr>
                <w:rFonts w:hint="eastAsia" w:ascii="Times New Roman" w:hAnsi="Times New Roman" w:eastAsia="宋体" w:cs="宋体"/>
                <w:caps w:val="0"/>
                <w:spacing w:val="0"/>
                <w:highlight w:val="none"/>
              </w:rPr>
              <w:t>。根据《</w:t>
            </w:r>
            <w:r>
              <w:rPr>
                <w:rFonts w:hint="eastAsia" w:ascii="Times New Roman" w:hAnsi="Times New Roman" w:cs="宋体"/>
                <w:caps w:val="0"/>
                <w:spacing w:val="0"/>
                <w:highlight w:val="none"/>
                <w:lang w:eastAsia="zh-CN"/>
              </w:rPr>
              <w:t>2025年黑龙江省生态环境质量状况</w:t>
            </w:r>
            <w:r>
              <w:rPr>
                <w:rFonts w:hint="eastAsia" w:ascii="Times New Roman" w:hAnsi="Times New Roman" w:eastAsia="宋体" w:cs="宋体"/>
                <w:caps w:val="0"/>
                <w:spacing w:val="0"/>
                <w:highlight w:val="none"/>
              </w:rPr>
              <w:t>》，穆棱河鸡东境内该段水体指标可满足Ⅲ类水体功能标准，水体状况良好。根据《</w:t>
            </w:r>
            <w:r>
              <w:rPr>
                <w:rFonts w:hint="eastAsia" w:ascii="Times New Roman" w:hAnsi="Times New Roman" w:cs="宋体"/>
                <w:caps w:val="0"/>
                <w:spacing w:val="0"/>
                <w:highlight w:val="none"/>
                <w:lang w:eastAsia="zh-CN"/>
              </w:rPr>
              <w:t>2025年黑龙江省生态环境质量状况</w:t>
            </w:r>
            <w:r>
              <w:rPr>
                <w:rFonts w:hint="eastAsia" w:ascii="Times New Roman" w:hAnsi="Times New Roman" w:eastAsia="宋体" w:cs="宋体"/>
                <w:caps w:val="0"/>
                <w:spacing w:val="0"/>
                <w:highlight w:val="none"/>
              </w:rPr>
              <w:t>公报》，</w:t>
            </w:r>
            <w:r>
              <w:rPr>
                <w:rFonts w:hint="eastAsia" w:ascii="Times New Roman" w:hAnsi="Times New Roman" w:eastAsia="宋体" w:cs="宋体"/>
                <w:caps w:val="0"/>
                <w:spacing w:val="0"/>
                <w:highlight w:val="none"/>
                <w:lang w:val="en-US" w:eastAsia="zh-CN"/>
              </w:rPr>
              <w:t>鸡西市区域昼间声环境质量为二级，等效声级为 53.2dB(A)；道路交通昼间声环境质量为一级，等效声级为 64.7dB(A)；功能区昼间达标率 87.7%，功能区夜间达标率 97.6%。</w:t>
            </w:r>
          </w:p>
          <w:p w14:paraId="1E1BEEC9">
            <w:pPr>
              <w:adjustRightInd w:val="0"/>
              <w:snapToGrid w:val="0"/>
              <w:spacing w:line="360" w:lineRule="auto"/>
              <w:ind w:firstLine="480" w:firstLineChars="200"/>
              <w:jc w:val="left"/>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本项目产生的废气主要为</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highlight w:val="none"/>
                <w:lang w:val="en-US" w:eastAsia="zh-CN"/>
              </w:rPr>
              <w:t>产生废气</w:t>
            </w:r>
            <w:r>
              <w:rPr>
                <w:rFonts w:hint="eastAsia" w:ascii="Times New Roman" w:hAnsi="Times New Roman" w:cs="宋体"/>
                <w:caps w:val="0"/>
                <w:spacing w:val="0"/>
                <w:sz w:val="24"/>
                <w:highlight w:val="none"/>
                <w:lang w:val="en-US" w:eastAsia="zh-CN"/>
              </w:rPr>
              <w:t>以及燃料储罐大、小呼吸废气</w:t>
            </w:r>
            <w:r>
              <w:rPr>
                <w:rFonts w:hint="eastAsia" w:ascii="Times New Roman" w:hAnsi="Times New Roman" w:eastAsia="宋体" w:cs="宋体"/>
                <w:caps w:val="0"/>
                <w:spacing w:val="0"/>
                <w:sz w:val="24"/>
                <w:highlight w:val="none"/>
                <w:lang w:val="en-US" w:eastAsia="zh-CN"/>
              </w:rPr>
              <w:t>，</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highlight w:val="none"/>
                <w:lang w:val="en-US" w:eastAsia="zh-CN"/>
              </w:rPr>
              <w:t>产生的废气经DA003、DA004排气筒有组织排放，颗粒物、二氧化硫、氮氧化物、烟气黑度排放</w:t>
            </w:r>
            <w:r>
              <w:rPr>
                <w:rFonts w:hint="eastAsia" w:ascii="Times New Roman" w:hAnsi="Times New Roman" w:eastAsia="宋体" w:cs="宋体"/>
                <w:caps w:val="0"/>
                <w:spacing w:val="0"/>
                <w:sz w:val="24"/>
                <w:highlight w:val="none"/>
              </w:rPr>
              <w:t>满足《</w:t>
            </w:r>
            <w:r>
              <w:rPr>
                <w:rFonts w:hint="eastAsia" w:ascii="Times New Roman" w:hAnsi="Times New Roman" w:eastAsia="宋体" w:cs="宋体"/>
                <w:caps w:val="0"/>
                <w:spacing w:val="0"/>
                <w:sz w:val="24"/>
                <w:highlight w:val="none"/>
                <w:lang w:val="en-US" w:eastAsia="zh-CN"/>
              </w:rPr>
              <w:t>锅炉大气污染物排放标准</w:t>
            </w:r>
            <w:r>
              <w:rPr>
                <w:rFonts w:hint="eastAsia" w:ascii="Times New Roman" w:hAnsi="Times New Roman" w:eastAsia="宋体" w:cs="宋体"/>
                <w:caps w:val="0"/>
                <w:spacing w:val="0"/>
                <w:sz w:val="24"/>
                <w:highlight w:val="none"/>
              </w:rPr>
              <w:t>》（GB</w:t>
            </w:r>
            <w:r>
              <w:rPr>
                <w:rFonts w:hint="eastAsia" w:ascii="Times New Roman" w:hAnsi="Times New Roman" w:eastAsia="宋体" w:cs="宋体"/>
                <w:caps w:val="0"/>
                <w:spacing w:val="0"/>
                <w:sz w:val="24"/>
                <w:highlight w:val="none"/>
                <w:lang w:val="en-US" w:eastAsia="zh-CN"/>
              </w:rPr>
              <w:t>13271</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2014</w:t>
            </w:r>
            <w:r>
              <w:rPr>
                <w:rFonts w:hint="eastAsia" w:ascii="Times New Roman" w:hAnsi="Times New Roman" w:eastAsia="宋体" w:cs="宋体"/>
                <w:caps w:val="0"/>
                <w:spacing w:val="0"/>
                <w:sz w:val="24"/>
                <w:highlight w:val="none"/>
              </w:rPr>
              <w:t>）表</w:t>
            </w:r>
            <w:r>
              <w:rPr>
                <w:rFonts w:hint="eastAsia" w:ascii="Times New Roman" w:hAnsi="Times New Roman" w:eastAsia="宋体" w:cs="宋体"/>
                <w:caps w:val="0"/>
                <w:spacing w:val="0"/>
                <w:sz w:val="24"/>
                <w:highlight w:val="none"/>
                <w:lang w:val="en-US" w:eastAsia="zh-CN"/>
              </w:rPr>
              <w:t>2排放限值</w:t>
            </w:r>
            <w:r>
              <w:rPr>
                <w:rFonts w:hint="eastAsia" w:ascii="Times New Roman" w:hAnsi="Times New Roman" w:eastAsia="宋体" w:cs="宋体"/>
                <w:caps w:val="0"/>
                <w:spacing w:val="0"/>
                <w:sz w:val="24"/>
                <w:highlight w:val="none"/>
              </w:rPr>
              <w:t>；</w:t>
            </w:r>
            <w:r>
              <w:rPr>
                <w:rFonts w:hint="eastAsia" w:ascii="Times New Roman" w:hAnsi="Times New Roman" w:cs="宋体"/>
                <w:caps w:val="0"/>
                <w:spacing w:val="0"/>
                <w:sz w:val="24"/>
                <w:highlight w:val="none"/>
                <w:lang w:val="en-US" w:eastAsia="zh-CN"/>
              </w:rPr>
              <w:t>燃料储罐大小呼吸废气经呼吸口无组织排放，无组织非甲烷总烃年产生量交小，无组织排放不会大气环境造成明显影响。</w:t>
            </w:r>
            <w:r>
              <w:rPr>
                <w:rFonts w:hint="eastAsia" w:ascii="Times New Roman" w:hAnsi="Times New Roman" w:eastAsia="宋体" w:cs="宋体"/>
                <w:caps w:val="0"/>
                <w:spacing w:val="0"/>
                <w:sz w:val="24"/>
                <w:highlight w:val="none"/>
              </w:rPr>
              <w:t>本项目噪声主要来自</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highlight w:val="none"/>
                <w:lang w:val="en-US" w:eastAsia="zh-CN"/>
              </w:rPr>
              <w:t>、风机</w:t>
            </w:r>
            <w:r>
              <w:rPr>
                <w:rFonts w:hint="eastAsia" w:ascii="Times New Roman" w:hAnsi="Times New Roman" w:eastAsia="宋体" w:cs="宋体"/>
                <w:caps w:val="0"/>
                <w:spacing w:val="0"/>
                <w:sz w:val="24"/>
                <w:highlight w:val="none"/>
              </w:rPr>
              <w:t>运转过</w:t>
            </w:r>
            <w:r>
              <w:rPr>
                <w:rFonts w:hint="eastAsia" w:ascii="Times New Roman" w:hAnsi="Times New Roman" w:eastAsia="宋体" w:cs="宋体"/>
                <w:caps w:val="0"/>
                <w:spacing w:val="0"/>
                <w:sz w:val="24"/>
                <w:highlight w:val="none"/>
                <w:lang w:eastAsia="zh-CN"/>
              </w:rPr>
              <w:t>程中</w:t>
            </w:r>
            <w:r>
              <w:rPr>
                <w:rFonts w:hint="eastAsia" w:ascii="Times New Roman" w:hAnsi="Times New Roman" w:eastAsia="宋体" w:cs="宋体"/>
                <w:caps w:val="0"/>
                <w:spacing w:val="0"/>
                <w:sz w:val="24"/>
                <w:highlight w:val="none"/>
              </w:rPr>
              <w:t>产生的噪声，在采取选用低噪声设备，基础减振、厂房隔声等措施，能够满足《工业企业厂界环境噪声排放标准》（GB12348-2008）</w:t>
            </w:r>
            <w:r>
              <w:rPr>
                <w:rFonts w:hint="eastAsia" w:ascii="Times New Roman" w:hAnsi="Times New Roman" w:eastAsia="宋体" w:cs="宋体"/>
                <w:caps w:val="0"/>
                <w:spacing w:val="0"/>
                <w:sz w:val="24"/>
                <w:highlight w:val="none"/>
                <w:lang w:val="en-US" w:eastAsia="zh-CN"/>
              </w:rPr>
              <w:t>2类标准</w:t>
            </w:r>
            <w:r>
              <w:rPr>
                <w:rFonts w:hint="eastAsia" w:ascii="Times New Roman" w:hAnsi="Times New Roman" w:eastAsia="宋体" w:cs="宋体"/>
                <w:caps w:val="0"/>
                <w:spacing w:val="0"/>
                <w:sz w:val="24"/>
                <w:highlight w:val="none"/>
              </w:rPr>
              <w:t>；本项目产生的固体废物通过采取相应的处理措施后，可实现固体废物处理的无害化，减量化及资源化的目标。本项目的建设不会降低项目所在地周边环境的环境功能质量，符合环境质量控制底线要求。</w:t>
            </w:r>
          </w:p>
          <w:p w14:paraId="6C048B0B">
            <w:pPr>
              <w:adjustRightInd w:val="0"/>
              <w:snapToGrid w:val="0"/>
              <w:spacing w:line="360" w:lineRule="auto"/>
              <w:ind w:firstLine="480" w:firstLineChars="200"/>
              <w:jc w:val="left"/>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（3）与资源利用上线符合性</w:t>
            </w:r>
          </w:p>
          <w:p w14:paraId="419FC591">
            <w:pPr>
              <w:adjustRightInd w:val="0"/>
              <w:snapToGrid w:val="0"/>
              <w:spacing w:line="360" w:lineRule="auto"/>
              <w:ind w:firstLine="480" w:firstLineChars="200"/>
              <w:jc w:val="left"/>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1）资源利用上线相关要求</w:t>
            </w:r>
          </w:p>
          <w:p w14:paraId="7614E85B">
            <w:pPr>
              <w:adjustRightInd w:val="0"/>
              <w:snapToGrid w:val="0"/>
              <w:spacing w:line="360" w:lineRule="auto"/>
              <w:ind w:firstLine="480" w:firstLineChars="200"/>
              <w:jc w:val="left"/>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①能源利用上线</w:t>
            </w:r>
          </w:p>
          <w:p w14:paraId="533FDB13">
            <w:pPr>
              <w:adjustRightInd w:val="0"/>
              <w:snapToGrid w:val="0"/>
              <w:spacing w:line="360" w:lineRule="auto"/>
              <w:ind w:firstLine="480" w:firstLineChars="200"/>
              <w:jc w:val="left"/>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煤炭消费上线预测以碳排放相关指标数据为基础，结合各市（地）能源结构、能源消费总量、污染物排放及减排潜力情况、大气环境质量现状及目标，充分考虑达标城市抓好经济发展、保障民生工程的需求，确定</w:t>
            </w:r>
            <w:r>
              <w:rPr>
                <w:rFonts w:hint="eastAsia" w:ascii="Times New Roman" w:hAnsi="Times New Roman" w:cs="宋体"/>
                <w:caps w:val="0"/>
                <w:spacing w:val="0"/>
                <w:sz w:val="24"/>
                <w:highlight w:val="none"/>
                <w:lang w:val="en-US" w:eastAsia="zh-CN"/>
              </w:rPr>
              <w:t>鸡西</w:t>
            </w:r>
            <w:r>
              <w:rPr>
                <w:rFonts w:hint="eastAsia" w:ascii="Times New Roman" w:hAnsi="Times New Roman" w:eastAsia="宋体" w:cs="宋体"/>
                <w:caps w:val="0"/>
                <w:spacing w:val="0"/>
                <w:sz w:val="24"/>
                <w:highlight w:val="none"/>
              </w:rPr>
              <w:t>市目标年煤炭消费上线。</w:t>
            </w:r>
          </w:p>
          <w:p w14:paraId="3B884901">
            <w:pPr>
              <w:adjustRightInd w:val="0"/>
              <w:snapToGrid w:val="0"/>
              <w:spacing w:line="360" w:lineRule="auto"/>
              <w:ind w:firstLine="480" w:firstLineChars="200"/>
              <w:jc w:val="left"/>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②水资源利用上线</w:t>
            </w:r>
          </w:p>
          <w:p w14:paraId="73D179E0">
            <w:pPr>
              <w:adjustRightInd w:val="0"/>
              <w:snapToGrid w:val="0"/>
              <w:spacing w:line="360" w:lineRule="auto"/>
              <w:ind w:firstLine="480" w:firstLineChars="200"/>
              <w:jc w:val="left"/>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highlight w:val="none"/>
                <w:lang w:val="en-US" w:eastAsia="zh-CN"/>
              </w:rPr>
              <w:t>本项目不产生废水排放。全厂生活</w:t>
            </w:r>
            <w:r>
              <w:rPr>
                <w:rFonts w:hint="eastAsia" w:ascii="Times New Roman" w:hAnsi="Times New Roman" w:eastAsia="宋体" w:cs="宋体"/>
                <w:caps w:val="0"/>
                <w:spacing w:val="0"/>
                <w:sz w:val="24"/>
                <w:highlight w:val="none"/>
              </w:rPr>
              <w:t>用水为</w:t>
            </w:r>
            <w:r>
              <w:rPr>
                <w:rFonts w:hint="eastAsia" w:ascii="Times New Roman" w:hAnsi="Times New Roman" w:eastAsia="宋体" w:cs="宋体"/>
                <w:caps w:val="0"/>
                <w:spacing w:val="0"/>
                <w:sz w:val="24"/>
                <w:highlight w:val="none"/>
                <w:lang w:val="en-US" w:eastAsia="zh-CN"/>
              </w:rPr>
              <w:t>市政管网</w:t>
            </w:r>
            <w:r>
              <w:rPr>
                <w:rFonts w:hint="eastAsia" w:ascii="Times New Roman" w:hAnsi="Times New Roman" w:eastAsia="宋体" w:cs="宋体"/>
                <w:caps w:val="0"/>
                <w:spacing w:val="0"/>
                <w:sz w:val="24"/>
                <w:highlight w:val="none"/>
              </w:rPr>
              <w:t>供给，不开采地下水，不会突破水资源利用上线。</w:t>
            </w:r>
          </w:p>
          <w:p w14:paraId="2D257385">
            <w:pPr>
              <w:adjustRightInd w:val="0"/>
              <w:snapToGrid w:val="0"/>
              <w:spacing w:line="360" w:lineRule="auto"/>
              <w:ind w:firstLine="480" w:firstLineChars="200"/>
              <w:jc w:val="left"/>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③土地资源利用上线</w:t>
            </w:r>
          </w:p>
          <w:p w14:paraId="1A7ECFA6">
            <w:pPr>
              <w:adjustRightInd w:val="0"/>
              <w:snapToGrid w:val="0"/>
              <w:spacing w:line="360" w:lineRule="auto"/>
              <w:ind w:firstLine="480" w:firstLineChars="200"/>
              <w:jc w:val="left"/>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根据《黑龙江省国土规划（2016</w:t>
            </w:r>
            <w:r>
              <w:rPr>
                <w:rFonts w:hint="eastAsia" w:ascii="Times New Roman" w:hAnsi="Times New Roman" w:eastAsia="宋体" w:cs="宋体"/>
                <w:caps w:val="0"/>
                <w:spacing w:val="0"/>
                <w:sz w:val="24"/>
                <w:highlight w:val="none"/>
                <w:lang w:eastAsia="zh-CN"/>
              </w:rPr>
              <w:t>—</w:t>
            </w:r>
            <w:r>
              <w:rPr>
                <w:rFonts w:hint="eastAsia" w:ascii="Times New Roman" w:hAnsi="Times New Roman" w:eastAsia="宋体" w:cs="宋体"/>
                <w:caps w:val="0"/>
                <w:spacing w:val="0"/>
                <w:sz w:val="24"/>
                <w:highlight w:val="none"/>
              </w:rPr>
              <w:t>2030年）</w:t>
            </w:r>
            <w:r>
              <w:rPr>
                <w:rFonts w:hint="eastAsia" w:ascii="Times New Roman" w:hAnsi="Times New Roman" w:eastAsia="宋体" w:cs="宋体"/>
                <w:caps w:val="0"/>
                <w:spacing w:val="0"/>
                <w:sz w:val="24"/>
                <w:highlight w:val="none"/>
                <w:lang w:eastAsia="zh-CN"/>
              </w:rPr>
              <w:t>》和《</w:t>
            </w:r>
            <w:r>
              <w:rPr>
                <w:rFonts w:hint="eastAsia" w:ascii="Times New Roman" w:hAnsi="Times New Roman" w:eastAsia="宋体" w:cs="宋体"/>
                <w:caps w:val="0"/>
                <w:spacing w:val="0"/>
                <w:sz w:val="24"/>
                <w:highlight w:val="none"/>
              </w:rPr>
              <w:t>黑龙江省主体功能区规划》的要求，围绕国土空间总体布局，全面推进国土集聚开发、分类保护和综合整治</w:t>
            </w:r>
            <w:r>
              <w:rPr>
                <w:rFonts w:hint="eastAsia" w:ascii="Times New Roman" w:hAnsi="Times New Roman" w:eastAsia="宋体" w:cs="宋体"/>
                <w:caps w:val="0"/>
                <w:highlight w:val="none"/>
                <w:lang w:eastAsia="zh-CN"/>
              </w:rPr>
              <w:t>，</w:t>
            </w:r>
            <w:r>
              <w:rPr>
                <w:rFonts w:hint="eastAsia" w:ascii="Times New Roman" w:hAnsi="Times New Roman" w:eastAsia="宋体" w:cs="宋体"/>
                <w:caps w:val="0"/>
                <w:highlight w:val="none"/>
                <w:lang w:val="en-US" w:eastAsia="zh-CN"/>
              </w:rPr>
              <w:t>本项目为</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highlight w:val="none"/>
                <w:lang w:val="en-US" w:eastAsia="zh-CN"/>
              </w:rPr>
              <w:t>改造项目，在原有厂区内建设，不新增占地</w:t>
            </w:r>
            <w:r>
              <w:rPr>
                <w:rFonts w:hint="eastAsia" w:ascii="Times New Roman" w:hAnsi="Times New Roman" w:eastAsia="宋体" w:cs="宋体"/>
                <w:caps w:val="0"/>
                <w:spacing w:val="0"/>
                <w:sz w:val="24"/>
                <w:highlight w:val="none"/>
              </w:rPr>
              <w:t>。</w:t>
            </w:r>
          </w:p>
          <w:p w14:paraId="6D61D99E">
            <w:pPr>
              <w:adjustRightInd w:val="0"/>
              <w:snapToGrid w:val="0"/>
              <w:spacing w:line="360" w:lineRule="auto"/>
              <w:ind w:firstLine="480" w:firstLineChars="200"/>
              <w:jc w:val="left"/>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2）符合性分析</w:t>
            </w:r>
          </w:p>
          <w:p w14:paraId="53DD9072">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highlight w:val="none"/>
              </w:rPr>
              <w:t>本项目使用能源为</w:t>
            </w:r>
            <w:r>
              <w:rPr>
                <w:rFonts w:hint="eastAsia" w:ascii="Times New Roman" w:hAnsi="Times New Roman" w:eastAsia="宋体" w:cs="宋体"/>
                <w:caps w:val="0"/>
                <w:spacing w:val="0"/>
                <w:sz w:val="24"/>
                <w:highlight w:val="none"/>
                <w:lang w:eastAsia="zh-CN"/>
              </w:rPr>
              <w:t>电力</w:t>
            </w:r>
            <w:r>
              <w:rPr>
                <w:rFonts w:hint="eastAsia" w:ascii="Times New Roman" w:hAnsi="Times New Roman" w:eastAsia="宋体" w:cs="宋体"/>
                <w:caps w:val="0"/>
                <w:spacing w:val="0"/>
                <w:sz w:val="24"/>
                <w:highlight w:val="none"/>
              </w:rPr>
              <w:t>能源</w:t>
            </w:r>
            <w:r>
              <w:rPr>
                <w:rFonts w:hint="eastAsia" w:ascii="Times New Roman" w:hAnsi="Times New Roman" w:eastAsia="宋体" w:cs="宋体"/>
                <w:caps w:val="0"/>
                <w:spacing w:val="0"/>
                <w:sz w:val="24"/>
                <w:highlight w:val="none"/>
                <w:lang w:val="en-US" w:eastAsia="zh-CN"/>
              </w:rPr>
              <w:t>和轻质柴油</w:t>
            </w:r>
            <w:r>
              <w:rPr>
                <w:rFonts w:hint="eastAsia" w:ascii="Times New Roman" w:hAnsi="Times New Roman" w:eastAsia="宋体" w:cs="宋体"/>
                <w:caps w:val="0"/>
                <w:spacing w:val="0"/>
                <w:sz w:val="24"/>
                <w:highlight w:val="none"/>
              </w:rPr>
              <w:t>，不使用燃煤。本项目所在地为地下水重点管控区，本项目</w:t>
            </w:r>
            <w:r>
              <w:rPr>
                <w:rFonts w:hint="eastAsia" w:ascii="Times New Roman" w:hAnsi="Times New Roman" w:eastAsia="宋体" w:cs="宋体"/>
                <w:caps w:val="0"/>
                <w:spacing w:val="0"/>
                <w:sz w:val="24"/>
                <w:highlight w:val="none"/>
                <w:lang w:val="en-US" w:eastAsia="zh-CN"/>
              </w:rPr>
              <w:t>无用水环节</w:t>
            </w:r>
            <w:r>
              <w:rPr>
                <w:rFonts w:hint="eastAsia" w:ascii="Times New Roman" w:hAnsi="Times New Roman" w:eastAsia="宋体" w:cs="宋体"/>
                <w:caps w:val="0"/>
                <w:spacing w:val="0"/>
                <w:sz w:val="24"/>
                <w:highlight w:val="none"/>
              </w:rPr>
              <w:t>，不开采地下水，不会超过区域水资源承载能力。本项目位于</w:t>
            </w:r>
            <w:r>
              <w:rPr>
                <w:rFonts w:hint="eastAsia" w:ascii="Times New Roman" w:hAnsi="Times New Roman" w:cs="宋体"/>
                <w:caps w:val="0"/>
                <w:color w:val="auto"/>
                <w:spacing w:val="0"/>
                <w:sz w:val="24"/>
                <w:szCs w:val="24"/>
                <w:highlight w:val="none"/>
                <w:lang w:val="en-US" w:eastAsia="zh-CN"/>
              </w:rPr>
              <w:t>黑龙江省鸡西市梨树区穆棱矿区双建委</w:t>
            </w:r>
            <w:r>
              <w:rPr>
                <w:rFonts w:hint="eastAsia" w:ascii="Times New Roman" w:hAnsi="Times New Roman" w:eastAsia="宋体" w:cs="宋体"/>
                <w:caps w:val="0"/>
                <w:color w:val="auto"/>
                <w:spacing w:val="0"/>
                <w:sz w:val="24"/>
                <w:szCs w:val="24"/>
                <w:highlight w:val="none"/>
                <w:lang w:val="en-US" w:eastAsia="zh-CN"/>
              </w:rPr>
              <w:t>（鸡西市燎盛新材料科技有限公司院内）</w:t>
            </w:r>
            <w:r>
              <w:rPr>
                <w:rFonts w:hint="eastAsia" w:ascii="Times New Roman" w:hAnsi="Times New Roman" w:eastAsia="宋体" w:cs="宋体"/>
                <w:caps w:val="0"/>
                <w:spacing w:val="0"/>
                <w:sz w:val="24"/>
                <w:highlight w:val="none"/>
              </w:rPr>
              <w:t>，土地性质为工业用地，土地使用符合《黑龙江省国土规划（2016</w:t>
            </w:r>
            <w:r>
              <w:rPr>
                <w:rFonts w:hint="eastAsia" w:ascii="Times New Roman" w:hAnsi="Times New Roman" w:eastAsia="宋体" w:cs="宋体"/>
                <w:caps w:val="0"/>
                <w:spacing w:val="0"/>
                <w:sz w:val="24"/>
                <w:highlight w:val="none"/>
                <w:lang w:eastAsia="zh-CN"/>
              </w:rPr>
              <w:t>—</w:t>
            </w:r>
            <w:r>
              <w:rPr>
                <w:rFonts w:hint="eastAsia" w:ascii="Times New Roman" w:hAnsi="Times New Roman" w:eastAsia="宋体" w:cs="宋体"/>
                <w:caps w:val="0"/>
                <w:spacing w:val="0"/>
                <w:sz w:val="24"/>
                <w:highlight w:val="none"/>
              </w:rPr>
              <w:t>2030年）</w:t>
            </w:r>
            <w:r>
              <w:rPr>
                <w:rFonts w:hint="eastAsia" w:ascii="Times New Roman" w:hAnsi="Times New Roman" w:eastAsia="宋体" w:cs="宋体"/>
                <w:caps w:val="0"/>
                <w:spacing w:val="0"/>
                <w:sz w:val="24"/>
                <w:highlight w:val="none"/>
                <w:lang w:eastAsia="zh-CN"/>
              </w:rPr>
              <w:t>》《</w:t>
            </w:r>
            <w:r>
              <w:rPr>
                <w:rFonts w:hint="eastAsia" w:ascii="Times New Roman" w:hAnsi="Times New Roman" w:eastAsia="宋体" w:cs="宋体"/>
                <w:caps w:val="0"/>
                <w:spacing w:val="0"/>
                <w:sz w:val="24"/>
                <w:highlight w:val="none"/>
              </w:rPr>
              <w:t>黑龙江省主体功能区规划》。因此本项目符合</w:t>
            </w:r>
            <w:r>
              <w:rPr>
                <w:rFonts w:hint="eastAsia" w:ascii="Times New Roman" w:hAnsi="Times New Roman" w:eastAsia="宋体" w:cs="宋体"/>
                <w:caps w:val="0"/>
                <w:spacing w:val="0"/>
                <w:sz w:val="24"/>
                <w:highlight w:val="none"/>
                <w:lang w:eastAsia="zh-CN"/>
              </w:rPr>
              <w:t>“</w:t>
            </w:r>
            <w:r>
              <w:rPr>
                <w:rFonts w:hint="eastAsia" w:ascii="Times New Roman" w:hAnsi="Times New Roman" w:eastAsia="宋体" w:cs="宋体"/>
                <w:caps w:val="0"/>
                <w:spacing w:val="0"/>
                <w:sz w:val="24"/>
                <w:highlight w:val="none"/>
              </w:rPr>
              <w:t>三线一单</w:t>
            </w:r>
            <w:r>
              <w:rPr>
                <w:rFonts w:hint="eastAsia" w:ascii="Times New Roman" w:hAnsi="Times New Roman" w:eastAsia="宋体" w:cs="宋体"/>
                <w:caps w:val="0"/>
                <w:spacing w:val="0"/>
                <w:sz w:val="24"/>
                <w:highlight w:val="none"/>
                <w:lang w:eastAsia="zh-CN"/>
              </w:rPr>
              <w:t>”</w:t>
            </w:r>
            <w:r>
              <w:rPr>
                <w:rFonts w:hint="eastAsia" w:ascii="Times New Roman" w:hAnsi="Times New Roman" w:eastAsia="宋体" w:cs="宋体"/>
                <w:caps w:val="0"/>
                <w:spacing w:val="0"/>
                <w:sz w:val="24"/>
                <w:highlight w:val="none"/>
              </w:rPr>
              <w:t>中</w:t>
            </w:r>
            <w:r>
              <w:rPr>
                <w:rFonts w:hint="eastAsia" w:ascii="Times New Roman" w:hAnsi="Times New Roman" w:eastAsia="宋体" w:cs="宋体"/>
                <w:caps w:val="0"/>
                <w:spacing w:val="0"/>
                <w:sz w:val="24"/>
                <w:highlight w:val="none"/>
                <w:lang w:val="en-US" w:eastAsia="zh-CN"/>
              </w:rPr>
              <w:t>鸡西市</w:t>
            </w:r>
            <w:r>
              <w:rPr>
                <w:rFonts w:hint="eastAsia" w:ascii="Times New Roman" w:hAnsi="Times New Roman" w:eastAsia="宋体" w:cs="宋体"/>
                <w:caps w:val="0"/>
                <w:spacing w:val="0"/>
                <w:sz w:val="24"/>
                <w:highlight w:val="none"/>
              </w:rPr>
              <w:t>能源利用上线、水资源利用上线和土地资源利用上线的相关要求</w:t>
            </w:r>
            <w:r>
              <w:rPr>
                <w:rFonts w:hint="eastAsia" w:ascii="Times New Roman" w:hAnsi="Times New Roman" w:eastAsia="宋体" w:cs="宋体"/>
                <w:caps w:val="0"/>
                <w:spacing w:val="0"/>
                <w:sz w:val="24"/>
                <w:szCs w:val="24"/>
                <w:highlight w:val="none"/>
              </w:rPr>
              <w:t>。</w:t>
            </w:r>
          </w:p>
          <w:p w14:paraId="6C2A74C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jc w:val="left"/>
              <w:textAlignment w:val="auto"/>
              <w:rPr>
                <w:rFonts w:hint="eastAsia" w:ascii="Times New Roman" w:hAnsi="Times New Roman" w:eastAsia="宋体" w:cs="宋体"/>
                <w:caps w:val="0"/>
                <w:spacing w:val="0"/>
                <w:sz w:val="24"/>
                <w:highlight w:val="none"/>
                <w:lang w:val="en-US" w:eastAsia="zh-CN"/>
              </w:rPr>
            </w:pPr>
            <w:r>
              <w:rPr>
                <w:rFonts w:hint="eastAsia" w:ascii="Times New Roman" w:hAnsi="Times New Roman" w:eastAsia="宋体" w:cs="宋体"/>
                <w:caps w:val="0"/>
                <w:spacing w:val="0"/>
                <w:sz w:val="24"/>
                <w:highlight w:val="none"/>
                <w:lang w:val="en-US" w:eastAsia="zh-CN"/>
              </w:rPr>
              <w:t>（4）生态环境准入清单</w:t>
            </w:r>
          </w:p>
          <w:p w14:paraId="50993BD4">
            <w:pPr>
              <w:widowControl/>
              <w:shd w:val="clear"/>
              <w:adjustRightInd/>
              <w:snapToGrid/>
              <w:spacing w:line="360" w:lineRule="auto"/>
              <w:ind w:firstLine="480" w:firstLineChars="200"/>
              <w:jc w:val="left"/>
              <w:rPr>
                <w:rFonts w:hint="default"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1）一图</w:t>
            </w:r>
          </w:p>
          <w:p w14:paraId="0705CB8E">
            <w:pPr>
              <w:keepNext w:val="0"/>
              <w:keepLines w:val="0"/>
              <w:pageBreakBefore w:val="0"/>
              <w:widowControl/>
              <w:shd w:val="clear"/>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aps w:val="0"/>
                <w:color w:val="auto"/>
                <w:spacing w:val="0"/>
                <w:sz w:val="24"/>
                <w:szCs w:val="24"/>
                <w:highlight w:val="none"/>
              </w:rPr>
            </w:pPr>
            <w:r>
              <w:rPr>
                <w:rFonts w:ascii="Times New Roman" w:hAnsi="Times New Roman" w:eastAsia="宋体" w:cs="宋体"/>
                <w:caps w:val="0"/>
                <w:highlight w:val="none"/>
              </w:rPr>
              <w:drawing>
                <wp:inline distT="0" distB="0" distL="114300" distR="114300">
                  <wp:extent cx="4777740" cy="2443480"/>
                  <wp:effectExtent l="0" t="0" r="3810" b="13970"/>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18"/>
                          <a:stretch>
                            <a:fillRect/>
                          </a:stretch>
                        </pic:blipFill>
                        <pic:spPr>
                          <a:xfrm>
                            <a:off x="0" y="0"/>
                            <a:ext cx="4777740" cy="2443480"/>
                          </a:xfrm>
                          <a:prstGeom prst="rect">
                            <a:avLst/>
                          </a:prstGeom>
                          <a:noFill/>
                          <a:ln>
                            <a:noFill/>
                          </a:ln>
                        </pic:spPr>
                      </pic:pic>
                    </a:graphicData>
                  </a:graphic>
                </wp:inline>
              </w:drawing>
            </w:r>
          </w:p>
          <w:p w14:paraId="6D31026C">
            <w:pPr>
              <w:keepNext w:val="0"/>
              <w:keepLines w:val="0"/>
              <w:pageBreakBefore w:val="0"/>
              <w:widowControl/>
              <w:shd w:val="clear"/>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b/>
                <w:bCs/>
                <w:caps w:val="0"/>
                <w:color w:val="auto"/>
                <w:highlight w:val="none"/>
                <w:lang w:val="en-US" w:eastAsia="zh-CN"/>
              </w:rPr>
              <w:t>图1-1 本项目与管控单元叠加图</w:t>
            </w:r>
          </w:p>
          <w:p w14:paraId="051EF00F">
            <w:pPr>
              <w:widowControl/>
              <w:shd w:val="clear"/>
              <w:adjustRightInd/>
              <w:snapToGrid/>
              <w:spacing w:line="360" w:lineRule="auto"/>
              <w:ind w:firstLine="480" w:firstLineChars="200"/>
              <w:jc w:val="left"/>
              <w:rPr>
                <w:rFonts w:hint="default"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2）一表</w:t>
            </w:r>
          </w:p>
          <w:p w14:paraId="46AB9373">
            <w:pPr>
              <w:shd w:val="clear"/>
              <w:tabs>
                <w:tab w:val="left" w:pos="3687"/>
              </w:tabs>
              <w:spacing w:line="240" w:lineRule="auto"/>
              <w:ind w:firstLine="0" w:firstLineChars="0"/>
              <w:jc w:val="center"/>
              <w:rPr>
                <w:rFonts w:hint="eastAsia" w:ascii="Times New Roman" w:hAnsi="Times New Roman" w:eastAsia="宋体" w:cs="宋体"/>
                <w:b/>
                <w:bCs w:val="0"/>
                <w:caps w:val="0"/>
                <w:color w:val="auto"/>
                <w:spacing w:val="0"/>
                <w:kern w:val="2"/>
                <w:sz w:val="21"/>
                <w:szCs w:val="21"/>
                <w:highlight w:val="none"/>
                <w:lang w:val="en-US" w:eastAsia="zh-CN" w:bidi="ar-SA"/>
              </w:rPr>
            </w:pPr>
            <w:r>
              <w:rPr>
                <w:rFonts w:hint="eastAsia" w:ascii="Times New Roman" w:hAnsi="Times New Roman" w:eastAsia="宋体" w:cs="宋体"/>
                <w:b/>
                <w:bCs w:val="0"/>
                <w:caps w:val="0"/>
                <w:color w:val="auto"/>
                <w:spacing w:val="0"/>
                <w:kern w:val="2"/>
                <w:sz w:val="21"/>
                <w:szCs w:val="21"/>
                <w:highlight w:val="none"/>
                <w:lang w:val="en-US" w:eastAsia="zh-CN" w:bidi="ar-SA"/>
              </w:rPr>
              <w:t>表1-2 生态环境准入清单管控要求符合性分析</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36"/>
              <w:gridCol w:w="3916"/>
              <w:gridCol w:w="1986"/>
            </w:tblGrid>
            <w:tr w14:paraId="614DEE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8" w:type="dxa"/>
                  <w:gridSpan w:val="3"/>
                  <w:tcBorders>
                    <w:tl2br w:val="nil"/>
                    <w:tr2bl w:val="nil"/>
                  </w:tcBorders>
                  <w:noWrap w:val="0"/>
                  <w:vAlign w:val="center"/>
                </w:tcPr>
                <w:p w14:paraId="7EEA4D9F">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caps w:val="0"/>
                      <w:color w:val="auto"/>
                      <w:spacing w:val="0"/>
                      <w:sz w:val="21"/>
                      <w:szCs w:val="21"/>
                      <w:highlight w:val="none"/>
                      <w:lang w:val="en-US"/>
                    </w:rPr>
                  </w:pPr>
                  <w:r>
                    <w:rPr>
                      <w:rFonts w:hint="eastAsia" w:ascii="Times New Roman" w:hAnsi="Times New Roman" w:eastAsia="宋体" w:cs="宋体"/>
                      <w:b/>
                      <w:bCs w:val="0"/>
                      <w:caps w:val="0"/>
                      <w:color w:val="auto"/>
                      <w:sz w:val="21"/>
                      <w:szCs w:val="21"/>
                      <w:highlight w:val="none"/>
                      <w:lang w:val="en-US" w:eastAsia="zh-CN"/>
                    </w:rPr>
                    <w:t>地下水环境管控区</w:t>
                  </w:r>
                </w:p>
              </w:tc>
            </w:tr>
            <w:tr w14:paraId="4540B5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4" w:type="dxa"/>
                  <w:tcBorders>
                    <w:tl2br w:val="nil"/>
                    <w:tr2bl w:val="nil"/>
                  </w:tcBorders>
                  <w:noWrap w:val="0"/>
                  <w:vAlign w:val="center"/>
                </w:tcPr>
                <w:p w14:paraId="69D76B30">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val="0"/>
                      <w:caps w:val="0"/>
                      <w:color w:val="auto"/>
                      <w:spacing w:val="0"/>
                      <w:sz w:val="21"/>
                      <w:szCs w:val="21"/>
                      <w:highlight w:val="none"/>
                    </w:rPr>
                  </w:pPr>
                  <w:r>
                    <w:rPr>
                      <w:rFonts w:hint="eastAsia" w:ascii="Times New Roman" w:hAnsi="Times New Roman" w:eastAsia="宋体" w:cs="宋体"/>
                      <w:b/>
                      <w:bCs w:val="0"/>
                      <w:caps w:val="0"/>
                      <w:color w:val="auto"/>
                      <w:spacing w:val="0"/>
                      <w:kern w:val="0"/>
                      <w:sz w:val="21"/>
                      <w:szCs w:val="21"/>
                      <w:highlight w:val="none"/>
                    </w:rPr>
                    <w:t>环境管控</w:t>
                  </w:r>
                  <w:r>
                    <w:rPr>
                      <w:rFonts w:hint="eastAsia" w:ascii="Times New Roman" w:hAnsi="Times New Roman" w:eastAsia="宋体" w:cs="宋体"/>
                      <w:b/>
                      <w:bCs w:val="0"/>
                      <w:caps w:val="0"/>
                      <w:color w:val="auto"/>
                      <w:spacing w:val="0"/>
                      <w:kern w:val="0"/>
                      <w:sz w:val="21"/>
                      <w:szCs w:val="21"/>
                      <w:highlight w:val="none"/>
                      <w:lang w:val="en-US" w:eastAsia="zh-CN"/>
                    </w:rPr>
                    <w:t>区</w:t>
                  </w:r>
                  <w:r>
                    <w:rPr>
                      <w:rFonts w:hint="eastAsia" w:ascii="Times New Roman" w:hAnsi="Times New Roman" w:eastAsia="宋体" w:cs="宋体"/>
                      <w:b/>
                      <w:bCs w:val="0"/>
                      <w:caps w:val="0"/>
                      <w:color w:val="auto"/>
                      <w:spacing w:val="0"/>
                      <w:kern w:val="0"/>
                      <w:sz w:val="21"/>
                      <w:szCs w:val="21"/>
                      <w:highlight w:val="none"/>
                    </w:rPr>
                    <w:t>名称</w:t>
                  </w:r>
                </w:p>
              </w:tc>
              <w:tc>
                <w:tcPr>
                  <w:tcW w:w="5894" w:type="dxa"/>
                  <w:gridSpan w:val="2"/>
                  <w:tcBorders>
                    <w:tl2br w:val="nil"/>
                    <w:tr2bl w:val="nil"/>
                  </w:tcBorders>
                  <w:noWrap w:val="0"/>
                  <w:vAlign w:val="center"/>
                </w:tcPr>
                <w:p w14:paraId="322C9D05">
                  <w:pPr>
                    <w:keepNext w:val="0"/>
                    <w:keepLines w:val="0"/>
                    <w:pageBreakBefore w:val="0"/>
                    <w:widowControl w:val="0"/>
                    <w:shd w:val="clear"/>
                    <w:tabs>
                      <w:tab w:val="center" w:pos="4153"/>
                      <w:tab w:val="right" w:pos="8306"/>
                    </w:tabs>
                    <w:kinsoku/>
                    <w:wordWrap/>
                    <w:overflowPunct/>
                    <w:topLinePunct w:val="0"/>
                    <w:autoSpaceDE/>
                    <w:autoSpaceDN/>
                    <w:bidi w:val="0"/>
                    <w:adjustRightInd w:val="0"/>
                    <w:snapToGrid w:val="0"/>
                    <w:spacing w:line="0" w:lineRule="atLeast"/>
                    <w:ind w:left="0" w:leftChars="0" w:firstLine="0" w:firstLineChars="0"/>
                    <w:jc w:val="center"/>
                    <w:textAlignment w:val="auto"/>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lang w:val="en-US" w:eastAsia="zh-CN"/>
                    </w:rPr>
                    <w:t>梨树区地下水环境一般管控区</w:t>
                  </w:r>
                </w:p>
              </w:tc>
            </w:tr>
            <w:tr w14:paraId="37CDCE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4" w:type="dxa"/>
                  <w:tcBorders>
                    <w:tl2br w:val="nil"/>
                    <w:tr2bl w:val="nil"/>
                  </w:tcBorders>
                  <w:noWrap w:val="0"/>
                  <w:vAlign w:val="center"/>
                </w:tcPr>
                <w:p w14:paraId="264DC704">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val="0"/>
                      <w:caps w:val="0"/>
                      <w:color w:val="auto"/>
                      <w:spacing w:val="0"/>
                      <w:sz w:val="21"/>
                      <w:szCs w:val="21"/>
                      <w:highlight w:val="none"/>
                    </w:rPr>
                  </w:pPr>
                  <w:r>
                    <w:rPr>
                      <w:rFonts w:hint="eastAsia" w:ascii="Times New Roman" w:hAnsi="Times New Roman" w:eastAsia="宋体" w:cs="宋体"/>
                      <w:b/>
                      <w:bCs w:val="0"/>
                      <w:caps w:val="0"/>
                      <w:color w:val="auto"/>
                      <w:spacing w:val="0"/>
                      <w:kern w:val="0"/>
                      <w:sz w:val="21"/>
                      <w:szCs w:val="21"/>
                      <w:highlight w:val="none"/>
                    </w:rPr>
                    <w:t>环境管控</w:t>
                  </w:r>
                  <w:r>
                    <w:rPr>
                      <w:rFonts w:hint="eastAsia" w:ascii="Times New Roman" w:hAnsi="Times New Roman" w:eastAsia="宋体" w:cs="宋体"/>
                      <w:b/>
                      <w:bCs w:val="0"/>
                      <w:caps w:val="0"/>
                      <w:color w:val="auto"/>
                      <w:spacing w:val="0"/>
                      <w:kern w:val="0"/>
                      <w:sz w:val="21"/>
                      <w:szCs w:val="21"/>
                      <w:highlight w:val="none"/>
                      <w:lang w:val="en-US" w:eastAsia="zh-CN"/>
                    </w:rPr>
                    <w:t>区</w:t>
                  </w:r>
                  <w:r>
                    <w:rPr>
                      <w:rFonts w:hint="eastAsia" w:ascii="Times New Roman" w:hAnsi="Times New Roman" w:eastAsia="宋体" w:cs="宋体"/>
                      <w:b/>
                      <w:bCs w:val="0"/>
                      <w:caps w:val="0"/>
                      <w:color w:val="auto"/>
                      <w:spacing w:val="0"/>
                      <w:kern w:val="0"/>
                      <w:sz w:val="21"/>
                      <w:szCs w:val="21"/>
                      <w:highlight w:val="none"/>
                    </w:rPr>
                    <w:t>编码</w:t>
                  </w:r>
                </w:p>
              </w:tc>
              <w:tc>
                <w:tcPr>
                  <w:tcW w:w="5894" w:type="dxa"/>
                  <w:gridSpan w:val="2"/>
                  <w:tcBorders>
                    <w:tl2br w:val="nil"/>
                    <w:tr2bl w:val="nil"/>
                  </w:tcBorders>
                  <w:noWrap w:val="0"/>
                  <w:vAlign w:val="center"/>
                </w:tcPr>
                <w:p w14:paraId="1A996209">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lang w:val="en-US" w:eastAsia="zh-CN"/>
                    </w:rPr>
                    <w:t>YS2303056310001</w:t>
                  </w:r>
                </w:p>
              </w:tc>
            </w:tr>
            <w:tr w14:paraId="475C3C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4" w:type="dxa"/>
                  <w:tcBorders>
                    <w:tl2br w:val="nil"/>
                    <w:tr2bl w:val="nil"/>
                  </w:tcBorders>
                  <w:noWrap w:val="0"/>
                  <w:vAlign w:val="center"/>
                </w:tcPr>
                <w:p w14:paraId="4243F1B4">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val="0"/>
                      <w:caps w:val="0"/>
                      <w:color w:val="auto"/>
                      <w:spacing w:val="0"/>
                      <w:sz w:val="21"/>
                      <w:szCs w:val="21"/>
                      <w:highlight w:val="none"/>
                    </w:rPr>
                  </w:pPr>
                  <w:r>
                    <w:rPr>
                      <w:rFonts w:hint="eastAsia" w:ascii="Times New Roman" w:hAnsi="Times New Roman" w:eastAsia="宋体" w:cs="宋体"/>
                      <w:b/>
                      <w:bCs w:val="0"/>
                      <w:caps w:val="0"/>
                      <w:color w:val="auto"/>
                      <w:spacing w:val="0"/>
                      <w:kern w:val="0"/>
                      <w:sz w:val="21"/>
                      <w:szCs w:val="21"/>
                      <w:highlight w:val="none"/>
                    </w:rPr>
                    <w:t>管控</w:t>
                  </w:r>
                  <w:r>
                    <w:rPr>
                      <w:rFonts w:hint="eastAsia" w:ascii="Times New Roman" w:hAnsi="Times New Roman" w:eastAsia="宋体" w:cs="宋体"/>
                      <w:b/>
                      <w:bCs w:val="0"/>
                      <w:caps w:val="0"/>
                      <w:color w:val="auto"/>
                      <w:spacing w:val="0"/>
                      <w:kern w:val="0"/>
                      <w:sz w:val="21"/>
                      <w:szCs w:val="21"/>
                      <w:highlight w:val="none"/>
                      <w:lang w:val="en-US" w:eastAsia="zh-CN"/>
                    </w:rPr>
                    <w:t>区类型</w:t>
                  </w:r>
                </w:p>
              </w:tc>
              <w:tc>
                <w:tcPr>
                  <w:tcW w:w="5894" w:type="dxa"/>
                  <w:gridSpan w:val="2"/>
                  <w:tcBorders>
                    <w:tl2br w:val="nil"/>
                    <w:tr2bl w:val="nil"/>
                  </w:tcBorders>
                  <w:noWrap w:val="0"/>
                  <w:vAlign w:val="center"/>
                </w:tcPr>
                <w:p w14:paraId="6C6C4DBC">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lang w:val="en-US" w:eastAsia="zh-CN"/>
                    </w:rPr>
                    <w:t>一般管控区</w:t>
                  </w:r>
                </w:p>
              </w:tc>
            </w:tr>
            <w:tr w14:paraId="390D29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45" w:type="dxa"/>
                  <w:gridSpan w:val="2"/>
                  <w:tcBorders>
                    <w:tl2br w:val="nil"/>
                    <w:tr2bl w:val="nil"/>
                  </w:tcBorders>
                  <w:noWrap w:val="0"/>
                  <w:vAlign w:val="center"/>
                </w:tcPr>
                <w:p w14:paraId="47011C46">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Cs/>
                      <w:caps w:val="0"/>
                      <w:color w:val="auto"/>
                      <w:spacing w:val="0"/>
                      <w:kern w:val="2"/>
                      <w:sz w:val="21"/>
                      <w:szCs w:val="21"/>
                      <w:highlight w:val="none"/>
                      <w:lang w:val="en-US" w:eastAsia="zh-CN" w:bidi="ar-SA"/>
                    </w:rPr>
                  </w:pPr>
                  <w:r>
                    <w:rPr>
                      <w:rFonts w:hint="eastAsia" w:ascii="Times New Roman" w:hAnsi="Times New Roman" w:eastAsia="宋体" w:cs="宋体"/>
                      <w:b/>
                      <w:bCs/>
                      <w:caps w:val="0"/>
                      <w:color w:val="auto"/>
                      <w:spacing w:val="0"/>
                      <w:sz w:val="21"/>
                      <w:szCs w:val="21"/>
                      <w:highlight w:val="none"/>
                    </w:rPr>
                    <w:t>管控要求</w:t>
                  </w:r>
                </w:p>
              </w:tc>
              <w:tc>
                <w:tcPr>
                  <w:tcW w:w="1983" w:type="dxa"/>
                  <w:tcBorders>
                    <w:tl2br w:val="nil"/>
                    <w:tr2bl w:val="nil"/>
                  </w:tcBorders>
                  <w:noWrap w:val="0"/>
                  <w:vAlign w:val="center"/>
                </w:tcPr>
                <w:p w14:paraId="3435C60E">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Cs/>
                      <w:caps w:val="0"/>
                      <w:color w:val="auto"/>
                      <w:spacing w:val="0"/>
                      <w:kern w:val="2"/>
                      <w:sz w:val="21"/>
                      <w:szCs w:val="21"/>
                      <w:highlight w:val="none"/>
                      <w:lang w:val="en-US" w:eastAsia="zh-CN" w:bidi="ar-SA"/>
                    </w:rPr>
                  </w:pPr>
                  <w:r>
                    <w:rPr>
                      <w:rFonts w:hint="eastAsia" w:ascii="Times New Roman" w:hAnsi="Times New Roman" w:eastAsia="宋体" w:cs="宋体"/>
                      <w:b/>
                      <w:bCs/>
                      <w:caps w:val="0"/>
                      <w:color w:val="auto"/>
                      <w:spacing w:val="0"/>
                      <w:sz w:val="21"/>
                      <w:szCs w:val="21"/>
                      <w:highlight w:val="none"/>
                    </w:rPr>
                    <w:t>项目符合性分析</w:t>
                  </w:r>
                </w:p>
              </w:tc>
            </w:tr>
            <w:tr w14:paraId="435CFC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634" w:type="dxa"/>
                  <w:tcBorders>
                    <w:tl2br w:val="nil"/>
                    <w:tr2bl w:val="nil"/>
                  </w:tcBorders>
                  <w:noWrap w:val="0"/>
                  <w:vAlign w:val="center"/>
                </w:tcPr>
                <w:p w14:paraId="1B91804A">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val="0"/>
                      <w:caps w:val="0"/>
                      <w:color w:val="auto"/>
                      <w:spacing w:val="0"/>
                      <w:kern w:val="0"/>
                      <w:sz w:val="21"/>
                      <w:szCs w:val="21"/>
                      <w:highlight w:val="none"/>
                    </w:rPr>
                  </w:pPr>
                  <w:r>
                    <w:rPr>
                      <w:rFonts w:hint="eastAsia" w:ascii="Times New Roman" w:hAnsi="Times New Roman" w:eastAsia="宋体" w:cs="宋体"/>
                      <w:b/>
                      <w:bCs w:val="0"/>
                      <w:caps w:val="0"/>
                      <w:color w:val="auto"/>
                      <w:spacing w:val="0"/>
                      <w:kern w:val="0"/>
                      <w:sz w:val="21"/>
                      <w:szCs w:val="21"/>
                      <w:highlight w:val="none"/>
                      <w:lang w:val="en-US" w:eastAsia="zh-CN"/>
                    </w:rPr>
                    <w:t>环境风险防控</w:t>
                  </w:r>
                </w:p>
              </w:tc>
              <w:tc>
                <w:tcPr>
                  <w:tcW w:w="3911" w:type="dxa"/>
                  <w:tcBorders>
                    <w:tl2br w:val="nil"/>
                    <w:tr2bl w:val="nil"/>
                  </w:tcBorders>
                  <w:noWrap w:val="0"/>
                  <w:vAlign w:val="center"/>
                </w:tcPr>
                <w:p w14:paraId="1D533E46">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val="0"/>
                      <w:caps w:val="0"/>
                      <w:color w:val="auto"/>
                      <w:spacing w:val="0"/>
                      <w:kern w:val="0"/>
                      <w:sz w:val="21"/>
                      <w:szCs w:val="21"/>
                      <w:highlight w:val="none"/>
                    </w:rPr>
                  </w:pPr>
                  <w:r>
                    <w:rPr>
                      <w:rFonts w:hint="eastAsia" w:ascii="Times New Roman" w:hAnsi="Times New Roman" w:eastAsia="宋体" w:cs="宋体"/>
                      <w:b w:val="0"/>
                      <w:bCs/>
                      <w:caps w:val="0"/>
                      <w:color w:val="auto"/>
                      <w:spacing w:val="0"/>
                      <w:kern w:val="0"/>
                      <w:sz w:val="21"/>
                      <w:szCs w:val="21"/>
                      <w:highlight w:val="none"/>
                      <w:lang w:val="en-US" w:eastAsia="zh-CN"/>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2.重点单位新、改、扩建项目地下储罐储存有毒有害物质的，应当在项目投入生产或者使用之前，将地下储罐的信息报所在地设区的市级生态环境主管部门备案。 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983" w:type="dxa"/>
                  <w:tcBorders>
                    <w:tl2br w:val="nil"/>
                    <w:tr2bl w:val="nil"/>
                  </w:tcBorders>
                  <w:noWrap w:val="0"/>
                  <w:vAlign w:val="center"/>
                </w:tcPr>
                <w:p w14:paraId="07069488">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宋体"/>
                      <w:b w:val="0"/>
                      <w:bCs/>
                      <w:caps w:val="0"/>
                      <w:color w:val="auto"/>
                      <w:spacing w:val="0"/>
                      <w:kern w:val="0"/>
                      <w:sz w:val="21"/>
                      <w:szCs w:val="21"/>
                      <w:highlight w:val="none"/>
                      <w:lang w:val="en-US" w:eastAsia="zh-CN"/>
                    </w:rPr>
                  </w:pPr>
                  <w:r>
                    <w:rPr>
                      <w:rFonts w:hint="eastAsia" w:ascii="Times New Roman" w:hAnsi="Times New Roman" w:eastAsia="宋体" w:cs="宋体"/>
                      <w:b w:val="0"/>
                      <w:bCs/>
                      <w:caps w:val="0"/>
                      <w:color w:val="auto"/>
                      <w:spacing w:val="0"/>
                      <w:kern w:val="0"/>
                      <w:sz w:val="21"/>
                      <w:szCs w:val="21"/>
                      <w:highlight w:val="none"/>
                      <w:lang w:val="en-US" w:eastAsia="zh-CN"/>
                    </w:rPr>
                    <w:t>本项目为改建燃油</w:t>
                  </w:r>
                  <w:r>
                    <w:rPr>
                      <w:rFonts w:hint="eastAsia" w:ascii="Times New Roman" w:hAnsi="Times New Roman" w:eastAsia="宋体" w:cs="宋体"/>
                      <w:b w:val="0"/>
                      <w:bCs/>
                      <w:caps w:val="0"/>
                      <w:color w:val="auto"/>
                      <w:spacing w:val="0"/>
                      <w:kern w:val="0"/>
                      <w:sz w:val="21"/>
                      <w:szCs w:val="21"/>
                      <w:highlight w:val="none"/>
                      <w:lang w:val="en-US" w:eastAsia="zh-CN"/>
                    </w:rPr>
                    <w:t>导热油炉</w:t>
                  </w:r>
                  <w:r>
                    <w:rPr>
                      <w:rFonts w:hint="eastAsia" w:ascii="Times New Roman" w:hAnsi="Times New Roman" w:eastAsia="宋体" w:cs="宋体"/>
                      <w:b w:val="0"/>
                      <w:bCs/>
                      <w:caps w:val="0"/>
                      <w:color w:val="auto"/>
                      <w:spacing w:val="0"/>
                      <w:kern w:val="0"/>
                      <w:sz w:val="21"/>
                      <w:szCs w:val="21"/>
                      <w:highlight w:val="none"/>
                      <w:lang w:val="en-US" w:eastAsia="zh-CN"/>
                    </w:rPr>
                    <w:t>项目，不属于土壤污染重点监管单位。本项目不属于重点单位，不建设地下储罐，不贮存有毒有害物质；不属于化学品生产企业，本项目已做好防渗措施。</w:t>
                  </w:r>
                </w:p>
              </w:tc>
            </w:tr>
            <w:tr w14:paraId="259119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8" w:type="dxa"/>
                  <w:gridSpan w:val="3"/>
                  <w:tcBorders>
                    <w:tl2br w:val="nil"/>
                    <w:tr2bl w:val="nil"/>
                  </w:tcBorders>
                  <w:noWrap w:val="0"/>
                  <w:vAlign w:val="center"/>
                </w:tcPr>
                <w:p w14:paraId="715E5FE8">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环境准入清单</w:t>
                  </w:r>
                </w:p>
              </w:tc>
            </w:tr>
            <w:tr w14:paraId="48D5EA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4" w:type="dxa"/>
                  <w:tcBorders>
                    <w:tl2br w:val="nil"/>
                    <w:tr2bl w:val="nil"/>
                  </w:tcBorders>
                  <w:noWrap w:val="0"/>
                  <w:vAlign w:val="center"/>
                </w:tcPr>
                <w:p w14:paraId="1C636ABC">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环境管控单元名称</w:t>
                  </w:r>
                </w:p>
              </w:tc>
              <w:tc>
                <w:tcPr>
                  <w:tcW w:w="5894" w:type="dxa"/>
                  <w:gridSpan w:val="2"/>
                  <w:tcBorders>
                    <w:tl2br w:val="nil"/>
                    <w:tr2bl w:val="nil"/>
                  </w:tcBorders>
                  <w:noWrap w:val="0"/>
                  <w:vAlign w:val="center"/>
                </w:tcPr>
                <w:p w14:paraId="102C6A83">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val="0"/>
                      <w:caps w:val="0"/>
                      <w:color w:val="auto"/>
                      <w:spacing w:val="0"/>
                      <w:sz w:val="21"/>
                      <w:szCs w:val="21"/>
                      <w:highlight w:val="none"/>
                    </w:rPr>
                  </w:pPr>
                  <w:r>
                    <w:rPr>
                      <w:rFonts w:hint="eastAsia" w:ascii="Times New Roman" w:hAnsi="Times New Roman" w:eastAsia="宋体" w:cs="宋体"/>
                      <w:b/>
                      <w:bCs w:val="0"/>
                      <w:caps w:val="0"/>
                      <w:color w:val="auto"/>
                      <w:spacing w:val="0"/>
                      <w:sz w:val="21"/>
                      <w:szCs w:val="21"/>
                      <w:highlight w:val="none"/>
                      <w:lang w:val="en-US" w:eastAsia="zh-CN"/>
                    </w:rPr>
                    <w:t>梨树区城镇空间</w:t>
                  </w:r>
                </w:p>
              </w:tc>
            </w:tr>
            <w:tr w14:paraId="5DC4A4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4" w:type="dxa"/>
                  <w:tcBorders>
                    <w:tl2br w:val="nil"/>
                    <w:tr2bl w:val="nil"/>
                  </w:tcBorders>
                  <w:noWrap w:val="0"/>
                  <w:vAlign w:val="center"/>
                </w:tcPr>
                <w:p w14:paraId="0A8E6442">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环境管控单元编码</w:t>
                  </w:r>
                </w:p>
              </w:tc>
              <w:tc>
                <w:tcPr>
                  <w:tcW w:w="5894" w:type="dxa"/>
                  <w:gridSpan w:val="2"/>
                  <w:tcBorders>
                    <w:tl2br w:val="nil"/>
                    <w:tr2bl w:val="nil"/>
                  </w:tcBorders>
                  <w:noWrap w:val="0"/>
                  <w:vAlign w:val="center"/>
                </w:tcPr>
                <w:p w14:paraId="0F1653C6">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val="0"/>
                      <w:caps w:val="0"/>
                      <w:color w:val="auto"/>
                      <w:spacing w:val="0"/>
                      <w:sz w:val="21"/>
                      <w:szCs w:val="21"/>
                      <w:highlight w:val="none"/>
                    </w:rPr>
                  </w:pPr>
                  <w:r>
                    <w:rPr>
                      <w:rFonts w:hint="eastAsia" w:ascii="Times New Roman" w:hAnsi="Times New Roman" w:eastAsia="宋体" w:cs="宋体"/>
                      <w:b/>
                      <w:bCs w:val="0"/>
                      <w:caps w:val="0"/>
                      <w:color w:val="auto"/>
                      <w:spacing w:val="0"/>
                      <w:sz w:val="21"/>
                      <w:szCs w:val="21"/>
                      <w:highlight w:val="none"/>
                      <w:lang w:val="en-US" w:eastAsia="zh-CN"/>
                    </w:rPr>
                    <w:t>ZH23030520002</w:t>
                  </w:r>
                </w:p>
              </w:tc>
            </w:tr>
            <w:tr w14:paraId="5E570A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4" w:type="dxa"/>
                  <w:tcBorders>
                    <w:tl2br w:val="nil"/>
                    <w:tr2bl w:val="nil"/>
                  </w:tcBorders>
                  <w:noWrap w:val="0"/>
                  <w:vAlign w:val="center"/>
                </w:tcPr>
                <w:p w14:paraId="2BD7F22B">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管控单元类别</w:t>
                  </w:r>
                </w:p>
              </w:tc>
              <w:tc>
                <w:tcPr>
                  <w:tcW w:w="5894" w:type="dxa"/>
                  <w:gridSpan w:val="2"/>
                  <w:tcBorders>
                    <w:tl2br w:val="nil"/>
                    <w:tr2bl w:val="nil"/>
                  </w:tcBorders>
                  <w:noWrap w:val="0"/>
                  <w:vAlign w:val="center"/>
                </w:tcPr>
                <w:p w14:paraId="0E0DAB97">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val="0"/>
                      <w:caps w:val="0"/>
                      <w:color w:val="auto"/>
                      <w:spacing w:val="0"/>
                      <w:sz w:val="21"/>
                      <w:szCs w:val="21"/>
                      <w:highlight w:val="none"/>
                    </w:rPr>
                  </w:pPr>
                  <w:r>
                    <w:rPr>
                      <w:rFonts w:hint="eastAsia" w:ascii="Times New Roman" w:hAnsi="Times New Roman" w:eastAsia="宋体" w:cs="宋体"/>
                      <w:b/>
                      <w:bCs w:val="0"/>
                      <w:caps w:val="0"/>
                      <w:color w:val="auto"/>
                      <w:spacing w:val="0"/>
                      <w:sz w:val="21"/>
                      <w:szCs w:val="21"/>
                      <w:highlight w:val="none"/>
                      <w:lang w:val="en-US" w:eastAsia="zh-CN"/>
                    </w:rPr>
                    <w:t>重点管控单元</w:t>
                  </w:r>
                </w:p>
              </w:tc>
            </w:tr>
            <w:tr w14:paraId="21AA93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45" w:type="dxa"/>
                  <w:gridSpan w:val="2"/>
                  <w:tcBorders>
                    <w:tl2br w:val="nil"/>
                    <w:tr2bl w:val="nil"/>
                  </w:tcBorders>
                  <w:noWrap w:val="0"/>
                  <w:vAlign w:val="center"/>
                </w:tcPr>
                <w:p w14:paraId="573A9BF6">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管控要求</w:t>
                  </w:r>
                </w:p>
              </w:tc>
              <w:tc>
                <w:tcPr>
                  <w:tcW w:w="1983" w:type="dxa"/>
                  <w:tcBorders>
                    <w:tl2br w:val="nil"/>
                    <w:tr2bl w:val="nil"/>
                  </w:tcBorders>
                  <w:noWrap w:val="0"/>
                  <w:vAlign w:val="center"/>
                </w:tcPr>
                <w:p w14:paraId="426D0D76">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项目符合性分析</w:t>
                  </w:r>
                </w:p>
              </w:tc>
            </w:tr>
            <w:tr w14:paraId="29CEFD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4" w:type="dxa"/>
                  <w:tcBorders>
                    <w:tl2br w:val="nil"/>
                    <w:tr2bl w:val="nil"/>
                  </w:tcBorders>
                  <w:noWrap w:val="0"/>
                  <w:vAlign w:val="center"/>
                </w:tcPr>
                <w:p w14:paraId="0027856F">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空间布局约束</w:t>
                  </w:r>
                </w:p>
              </w:tc>
              <w:tc>
                <w:tcPr>
                  <w:tcW w:w="3911" w:type="dxa"/>
                  <w:tcBorders>
                    <w:tl2br w:val="nil"/>
                    <w:tr2bl w:val="nil"/>
                  </w:tcBorders>
                  <w:noWrap w:val="0"/>
                  <w:vAlign w:val="center"/>
                </w:tcPr>
                <w:p w14:paraId="30878305">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rPr>
                      <w:rFonts w:hint="eastAsia" w:ascii="Times New Roman" w:hAnsi="Times New Roman" w:eastAsia="宋体" w:cs="宋体"/>
                      <w:b w:val="0"/>
                      <w:bCs w:val="0"/>
                      <w:caps w:val="0"/>
                      <w:color w:val="auto"/>
                      <w:kern w:val="2"/>
                      <w:sz w:val="21"/>
                      <w:szCs w:val="21"/>
                      <w:highlight w:val="none"/>
                      <w:lang w:val="en-US" w:eastAsia="zh-CN" w:bidi="ar-SA"/>
                    </w:rPr>
                  </w:pPr>
                  <w:r>
                    <w:rPr>
                      <w:rFonts w:hint="eastAsia" w:ascii="Times New Roman" w:hAnsi="Times New Roman" w:eastAsia="宋体" w:cs="宋体"/>
                      <w:b w:val="0"/>
                      <w:bCs w:val="0"/>
                      <w:caps w:val="0"/>
                      <w:color w:val="auto"/>
                      <w:kern w:val="2"/>
                      <w:sz w:val="21"/>
                      <w:szCs w:val="21"/>
                      <w:highlight w:val="none"/>
                      <w:lang w:val="en-US" w:eastAsia="zh-CN" w:bidi="ar-SA"/>
                    </w:rPr>
                    <w:t>1.同时执行：（1）严禁在人口密集区新建危险化学品生产项目，城镇人口密集区危险化学品生产企业应搬迁改造。（2）禁止在城镇居民区、文化教育科学研究区等人口集中区域建设畜禽养殖场、养殖小区。2.水环境城镇生活污染重点管控区同时执行除干旱地区外，新建城区应全面实行雨污分流，鼓励对初期雨水进行收集、处理和资源化利用。3.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983" w:type="dxa"/>
                  <w:tcBorders>
                    <w:tl2br w:val="nil"/>
                    <w:tr2bl w:val="nil"/>
                  </w:tcBorders>
                  <w:noWrap w:val="0"/>
                  <w:vAlign w:val="center"/>
                </w:tcPr>
                <w:p w14:paraId="2EB72B2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本项目为改建燃油</w:t>
                  </w:r>
                  <w:r>
                    <w:rPr>
                      <w:rFonts w:hint="eastAsia" w:ascii="Times New Roman" w:hAnsi="Times New Roman" w:eastAsia="宋体" w:cs="宋体"/>
                      <w:caps w:val="0"/>
                      <w:color w:val="auto"/>
                      <w:spacing w:val="0"/>
                      <w:sz w:val="21"/>
                      <w:szCs w:val="21"/>
                      <w:highlight w:val="none"/>
                      <w:lang w:val="en-US" w:eastAsia="zh-CN"/>
                    </w:rPr>
                    <w:t>导热油炉</w:t>
                  </w:r>
                  <w:r>
                    <w:rPr>
                      <w:rFonts w:hint="eastAsia" w:ascii="Times New Roman" w:hAnsi="Times New Roman" w:eastAsia="宋体" w:cs="宋体"/>
                      <w:caps w:val="0"/>
                      <w:color w:val="auto"/>
                      <w:spacing w:val="0"/>
                      <w:sz w:val="21"/>
                      <w:szCs w:val="21"/>
                      <w:highlight w:val="none"/>
                      <w:lang w:val="en-US" w:eastAsia="zh-CN"/>
                    </w:rPr>
                    <w:t>项目，不属于在人口密集区新建</w:t>
                  </w:r>
                  <w:r>
                    <w:rPr>
                      <w:rFonts w:hint="eastAsia" w:ascii="Times New Roman" w:hAnsi="Times New Roman" w:cs="宋体"/>
                      <w:caps w:val="0"/>
                      <w:color w:val="auto"/>
                      <w:spacing w:val="0"/>
                      <w:sz w:val="21"/>
                      <w:szCs w:val="21"/>
                      <w:highlight w:val="none"/>
                      <w:lang w:val="en-US" w:eastAsia="zh-CN"/>
                    </w:rPr>
                    <w:t>危险</w:t>
                  </w:r>
                  <w:r>
                    <w:rPr>
                      <w:rFonts w:hint="eastAsia" w:ascii="Times New Roman" w:hAnsi="Times New Roman" w:eastAsia="宋体" w:cs="宋体"/>
                      <w:caps w:val="0"/>
                      <w:color w:val="auto"/>
                      <w:spacing w:val="0"/>
                      <w:sz w:val="21"/>
                      <w:szCs w:val="21"/>
                      <w:highlight w:val="none"/>
                      <w:lang w:val="en-US" w:eastAsia="zh-CN"/>
                    </w:rPr>
                    <w:t>化学品生产的项目，不属于畜禽养殖场、养殖小区；不属于两高行业，不属于</w:t>
                  </w:r>
                  <w:r>
                    <w:rPr>
                      <w:rFonts w:hint="eastAsia" w:ascii="Times New Roman" w:hAnsi="Times New Roman" w:eastAsia="宋体" w:cs="宋体"/>
                      <w:b w:val="0"/>
                      <w:bCs w:val="0"/>
                      <w:caps w:val="0"/>
                      <w:color w:val="auto"/>
                      <w:kern w:val="2"/>
                      <w:sz w:val="21"/>
                      <w:szCs w:val="21"/>
                      <w:highlight w:val="none"/>
                      <w:lang w:val="en-US" w:eastAsia="zh-CN" w:bidi="ar-SA"/>
                    </w:rPr>
                    <w:t>利用水泥窑协同处置城市生活垃圾、危险废弃物、电石渣等固废伴生水泥项目。</w:t>
                  </w:r>
                </w:p>
              </w:tc>
            </w:tr>
            <w:tr w14:paraId="21C396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4" w:type="dxa"/>
                  <w:tcBorders>
                    <w:tl2br w:val="nil"/>
                    <w:tr2bl w:val="nil"/>
                  </w:tcBorders>
                  <w:noWrap w:val="0"/>
                  <w:vAlign w:val="center"/>
                </w:tcPr>
                <w:p w14:paraId="1FFAAB7F">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污染物排放管控</w:t>
                  </w:r>
                </w:p>
              </w:tc>
              <w:tc>
                <w:tcPr>
                  <w:tcW w:w="3911" w:type="dxa"/>
                  <w:tcBorders>
                    <w:tl2br w:val="nil"/>
                    <w:tr2bl w:val="nil"/>
                  </w:tcBorders>
                  <w:noWrap w:val="0"/>
                  <w:vAlign w:val="center"/>
                </w:tcPr>
                <w:p w14:paraId="2F798E1A">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Times New Roman" w:hAnsi="Times New Roman" w:eastAsia="宋体" w:cs="宋体"/>
                      <w:b w:val="0"/>
                      <w:bCs w:val="0"/>
                      <w:caps w:val="0"/>
                      <w:color w:val="auto"/>
                      <w:kern w:val="2"/>
                      <w:sz w:val="21"/>
                      <w:szCs w:val="21"/>
                      <w:highlight w:val="none"/>
                      <w:lang w:val="en-US" w:eastAsia="zh-CN" w:bidi="ar-SA"/>
                    </w:rPr>
                  </w:pPr>
                  <w:r>
                    <w:rPr>
                      <w:rFonts w:hint="default" w:ascii="Times New Roman" w:hAnsi="Times New Roman" w:eastAsia="宋体" w:cs="宋体"/>
                      <w:b w:val="0"/>
                      <w:bCs w:val="0"/>
                      <w:caps w:val="0"/>
                      <w:color w:val="auto"/>
                      <w:kern w:val="2"/>
                      <w:sz w:val="21"/>
                      <w:szCs w:val="21"/>
                      <w:highlight w:val="none"/>
                      <w:lang w:val="en-US" w:eastAsia="zh-CN" w:bidi="ar-SA"/>
                    </w:rPr>
                    <w:t>1</w:t>
                  </w:r>
                  <w:r>
                    <w:rPr>
                      <w:rFonts w:hint="eastAsia" w:ascii="Times New Roman" w:hAnsi="Times New Roman" w:eastAsia="宋体" w:cs="宋体"/>
                      <w:b w:val="0"/>
                      <w:bCs w:val="0"/>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kern w:val="2"/>
                      <w:sz w:val="21"/>
                      <w:szCs w:val="21"/>
                      <w:highlight w:val="none"/>
                      <w:lang w:val="en-US" w:eastAsia="zh-CN" w:bidi="ar-SA"/>
                    </w:rPr>
                    <w:t>执行：加快65t／h以上燃煤锅炉（含电力）超低排放改造。2</w:t>
                  </w:r>
                  <w:r>
                    <w:rPr>
                      <w:rFonts w:hint="eastAsia" w:ascii="Times New Roman" w:hAnsi="Times New Roman" w:eastAsia="宋体" w:cs="宋体"/>
                      <w:b w:val="0"/>
                      <w:bCs w:val="0"/>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kern w:val="2"/>
                      <w:sz w:val="21"/>
                      <w:szCs w:val="21"/>
                      <w:highlight w:val="none"/>
                      <w:lang w:val="en-US" w:eastAsia="zh-CN" w:bidi="ar-SA"/>
                    </w:rPr>
                    <w:t>水环境城镇生活污染重点管控区同时执行（1）新区污水管网规划建设应当与城市开发同步推进，除干旱地区外均实行雨污分流。（2）强化城中村、老旧城区和城乡结合部污水截流、收集。（3）推进合流制排水系统雨污分流改造，难以改造的，应采取截流、调蓄和治理等措施；推进现有污水处理设施配套管网建设；进一步提高城市、县城生活污水收集处理效能。（4）县级以上人民政府应当合理确定城镇排水与污水处理设施建设标准，统筹安排管网、泵站、污水处理厂以及污泥处理处置、再生水利用、雨水调蓄和排放等排水与污水处理设施建设和改造，提高城镇污水收集率和处理率。3</w:t>
                  </w:r>
                  <w:r>
                    <w:rPr>
                      <w:rFonts w:hint="eastAsia" w:ascii="Times New Roman" w:hAnsi="Times New Roman" w:eastAsia="宋体" w:cs="宋体"/>
                      <w:b w:val="0"/>
                      <w:bCs w:val="0"/>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kern w:val="2"/>
                      <w:sz w:val="21"/>
                      <w:szCs w:val="21"/>
                      <w:highlight w:val="none"/>
                      <w:lang w:val="en-US" w:eastAsia="zh-CN" w:bidi="ar-SA"/>
                    </w:rPr>
                    <w:t>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1983" w:type="dxa"/>
                  <w:tcBorders>
                    <w:tl2br w:val="nil"/>
                    <w:tr2bl w:val="nil"/>
                  </w:tcBorders>
                  <w:noWrap w:val="0"/>
                  <w:vAlign w:val="center"/>
                </w:tcPr>
                <w:p w14:paraId="53B8E592">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highlight w:val="none"/>
                      <w:lang w:val="en-US" w:eastAsia="zh-CN"/>
                    </w:rPr>
                  </w:pPr>
                  <w:r>
                    <w:rPr>
                      <w:rFonts w:hint="eastAsia" w:ascii="Times New Roman" w:hAnsi="Times New Roman" w:eastAsia="宋体" w:cs="宋体"/>
                      <w:caps w:val="0"/>
                      <w:color w:val="auto"/>
                      <w:sz w:val="21"/>
                      <w:szCs w:val="21"/>
                      <w:highlight w:val="none"/>
                      <w:lang w:val="en-US" w:eastAsia="zh-CN"/>
                    </w:rPr>
                    <w:t>本项目为改造1台和</w:t>
                  </w:r>
                  <w:r>
                    <w:rPr>
                      <w:rFonts w:hint="eastAsia" w:ascii="Times New Roman" w:hAnsi="Times New Roman" w:cs="宋体"/>
                      <w:caps w:val="0"/>
                      <w:color w:val="auto"/>
                      <w:sz w:val="21"/>
                      <w:szCs w:val="21"/>
                      <w:highlight w:val="none"/>
                      <w:lang w:val="en-US" w:eastAsia="zh-CN"/>
                    </w:rPr>
                    <w:t>扩建</w:t>
                  </w:r>
                  <w:r>
                    <w:rPr>
                      <w:rFonts w:hint="eastAsia" w:ascii="Times New Roman" w:hAnsi="Times New Roman" w:eastAsia="宋体" w:cs="宋体"/>
                      <w:caps w:val="0"/>
                      <w:color w:val="auto"/>
                      <w:sz w:val="21"/>
                      <w:szCs w:val="21"/>
                      <w:highlight w:val="none"/>
                      <w:lang w:val="en-US" w:eastAsia="zh-CN"/>
                    </w:rPr>
                    <w:t>2台0.35MW</w:t>
                  </w:r>
                  <w:r>
                    <w:rPr>
                      <w:rFonts w:hint="eastAsia" w:ascii="Times New Roman" w:hAnsi="Times New Roman" w:eastAsia="宋体" w:cs="宋体"/>
                      <w:caps w:val="0"/>
                      <w:color w:val="auto"/>
                      <w:sz w:val="21"/>
                      <w:szCs w:val="21"/>
                      <w:highlight w:val="none"/>
                      <w:lang w:val="en-US" w:eastAsia="zh-CN"/>
                    </w:rPr>
                    <w:t>燃油导热油炉</w:t>
                  </w:r>
                  <w:r>
                    <w:rPr>
                      <w:rFonts w:hint="eastAsia" w:ascii="Times New Roman" w:hAnsi="Times New Roman" w:eastAsia="宋体" w:cs="宋体"/>
                      <w:caps w:val="0"/>
                      <w:color w:val="auto"/>
                      <w:sz w:val="21"/>
                      <w:szCs w:val="21"/>
                      <w:highlight w:val="none"/>
                      <w:lang w:val="en-US" w:eastAsia="zh-CN"/>
                    </w:rPr>
                    <w:t>（采用2用1备模式），不属于65t/h燃煤锅炉。本项目燃料为轻质柴油，不属于重油。</w:t>
                  </w:r>
                </w:p>
              </w:tc>
            </w:tr>
            <w:tr w14:paraId="519E56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4" w:type="dxa"/>
                  <w:tcBorders>
                    <w:tl2br w:val="nil"/>
                    <w:tr2bl w:val="nil"/>
                  </w:tcBorders>
                  <w:noWrap w:val="0"/>
                  <w:vAlign w:val="center"/>
                </w:tcPr>
                <w:p w14:paraId="30C3886E">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环境风险防控</w:t>
                  </w:r>
                </w:p>
              </w:tc>
              <w:tc>
                <w:tcPr>
                  <w:tcW w:w="3911" w:type="dxa"/>
                  <w:tcBorders>
                    <w:tl2br w:val="nil"/>
                    <w:tr2bl w:val="nil"/>
                  </w:tcBorders>
                  <w:noWrap w:val="0"/>
                  <w:vAlign w:val="center"/>
                </w:tcPr>
                <w:p w14:paraId="0FE62AE7">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Times New Roman" w:hAnsi="Times New Roman" w:eastAsia="宋体" w:cs="宋体"/>
                      <w:b w:val="0"/>
                      <w:bCs w:val="0"/>
                      <w:caps w:val="0"/>
                      <w:color w:val="auto"/>
                      <w:kern w:val="2"/>
                      <w:sz w:val="21"/>
                      <w:szCs w:val="21"/>
                      <w:highlight w:val="none"/>
                      <w:lang w:val="en-US" w:eastAsia="zh-CN" w:bidi="ar-SA"/>
                    </w:rPr>
                  </w:pPr>
                  <w:r>
                    <w:rPr>
                      <w:rFonts w:hint="default" w:ascii="Times New Roman" w:hAnsi="Times New Roman" w:eastAsia="宋体" w:cs="宋体"/>
                      <w:b w:val="0"/>
                      <w:bCs w:val="0"/>
                      <w:caps w:val="0"/>
                      <w:color w:val="auto"/>
                      <w:kern w:val="2"/>
                      <w:sz w:val="21"/>
                      <w:szCs w:val="21"/>
                      <w:highlight w:val="none"/>
                      <w:lang w:val="en-US" w:eastAsia="zh-CN" w:bidi="ar-SA"/>
                    </w:rPr>
                    <w:t>1</w:t>
                  </w:r>
                  <w:r>
                    <w:rPr>
                      <w:rFonts w:hint="eastAsia" w:ascii="Times New Roman" w:hAnsi="Times New Roman" w:eastAsia="宋体" w:cs="宋体"/>
                      <w:b w:val="0"/>
                      <w:bCs w:val="0"/>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kern w:val="2"/>
                      <w:sz w:val="21"/>
                      <w:szCs w:val="21"/>
                      <w:highlight w:val="none"/>
                      <w:lang w:val="en-US" w:eastAsia="zh-CN" w:bidi="ar-SA"/>
                    </w:rPr>
                    <w:t>化工园区与城市建成区、人员密集场所、重要设施、敏感目标等应当保持规定的安全距离，相对封闭，不应保留常住居民，非关联企业和产业要逐步搬迁或退出，妥善防范化解</w:t>
                  </w:r>
                  <w:r>
                    <w:rPr>
                      <w:rFonts w:hint="eastAsia" w:ascii="Times New Roman" w:hAnsi="Times New Roman" w:eastAsia="宋体" w:cs="宋体"/>
                      <w:b w:val="0"/>
                      <w:bCs w:val="0"/>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kern w:val="2"/>
                      <w:sz w:val="21"/>
                      <w:szCs w:val="21"/>
                      <w:highlight w:val="none"/>
                      <w:lang w:val="en-US" w:eastAsia="zh-CN" w:bidi="ar-SA"/>
                    </w:rPr>
                    <w:t>邻避</w:t>
                  </w:r>
                  <w:r>
                    <w:rPr>
                      <w:rFonts w:hint="eastAsia" w:ascii="Times New Roman" w:hAnsi="Times New Roman" w:eastAsia="宋体" w:cs="宋体"/>
                      <w:b w:val="0"/>
                      <w:bCs w:val="0"/>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kern w:val="2"/>
                      <w:sz w:val="21"/>
                      <w:szCs w:val="21"/>
                      <w:highlight w:val="none"/>
                      <w:lang w:val="en-US" w:eastAsia="zh-CN" w:bidi="ar-SA"/>
                    </w:rPr>
                    <w:t>问题。严禁在松花江干流及一级支流沿岸 1 公里范围内布局化工园区。 2</w:t>
                  </w:r>
                  <w:r>
                    <w:rPr>
                      <w:rFonts w:hint="eastAsia" w:ascii="Times New Roman" w:hAnsi="Times New Roman" w:eastAsia="宋体" w:cs="宋体"/>
                      <w:b w:val="0"/>
                      <w:bCs w:val="0"/>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kern w:val="2"/>
                      <w:sz w:val="21"/>
                      <w:szCs w:val="21"/>
                      <w:highlight w:val="none"/>
                      <w:lang w:val="en-US" w:eastAsia="zh-CN" w:bidi="ar-SA"/>
                    </w:rPr>
                    <w:t>大气环境布局敏感重点管控区同时执行禁止在居民区、学校、医疗和养老机构等周边新建有色金属冶炼、焦化等行业企业。</w:t>
                  </w:r>
                </w:p>
              </w:tc>
              <w:tc>
                <w:tcPr>
                  <w:tcW w:w="1983" w:type="dxa"/>
                  <w:tcBorders>
                    <w:tl2br w:val="nil"/>
                    <w:tr2bl w:val="nil"/>
                  </w:tcBorders>
                  <w:noWrap w:val="0"/>
                  <w:vAlign w:val="center"/>
                </w:tcPr>
                <w:p w14:paraId="2A9226FE">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本项目为改建燃油</w:t>
                  </w:r>
                  <w:r>
                    <w:rPr>
                      <w:rFonts w:hint="eastAsia" w:ascii="Times New Roman" w:hAnsi="Times New Roman" w:eastAsia="宋体" w:cs="宋体"/>
                      <w:caps w:val="0"/>
                      <w:color w:val="auto"/>
                      <w:spacing w:val="0"/>
                      <w:sz w:val="21"/>
                      <w:szCs w:val="21"/>
                      <w:highlight w:val="none"/>
                      <w:lang w:val="en-US" w:eastAsia="zh-CN"/>
                    </w:rPr>
                    <w:t>导热油炉</w:t>
                  </w:r>
                  <w:r>
                    <w:rPr>
                      <w:rFonts w:hint="eastAsia" w:ascii="Times New Roman" w:hAnsi="Times New Roman" w:eastAsia="宋体" w:cs="宋体"/>
                      <w:caps w:val="0"/>
                      <w:color w:val="auto"/>
                      <w:spacing w:val="0"/>
                      <w:sz w:val="21"/>
                      <w:szCs w:val="21"/>
                      <w:highlight w:val="none"/>
                      <w:lang w:val="en-US" w:eastAsia="zh-CN"/>
                    </w:rPr>
                    <w:t>，不属于化工园区建设项目。</w:t>
                  </w:r>
                </w:p>
              </w:tc>
            </w:tr>
            <w:tr w14:paraId="4C5082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4" w:type="dxa"/>
                  <w:tcBorders>
                    <w:tl2br w:val="nil"/>
                    <w:tr2bl w:val="nil"/>
                  </w:tcBorders>
                  <w:noWrap w:val="0"/>
                  <w:vAlign w:val="center"/>
                </w:tcPr>
                <w:p w14:paraId="23235555">
                  <w:pPr>
                    <w:keepNext w:val="0"/>
                    <w:keepLines w:val="0"/>
                    <w:pageBreakBefore w:val="0"/>
                    <w:widowControl/>
                    <w:shd w:val="clear"/>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资源利用效率要求</w:t>
                  </w:r>
                </w:p>
              </w:tc>
              <w:tc>
                <w:tcPr>
                  <w:tcW w:w="3911" w:type="dxa"/>
                  <w:tcBorders>
                    <w:tl2br w:val="nil"/>
                    <w:tr2bl w:val="nil"/>
                  </w:tcBorders>
                  <w:noWrap w:val="0"/>
                  <w:vAlign w:val="center"/>
                </w:tcPr>
                <w:p w14:paraId="2113C9A1">
                  <w:pPr>
                    <w:keepNext w:val="0"/>
                    <w:keepLines w:val="0"/>
                    <w:pageBreakBefore w:val="0"/>
                    <w:shd w:val="clear"/>
                    <w:wordWrap/>
                    <w:overflowPunct/>
                    <w:topLinePunct w:val="0"/>
                    <w:bidi w:val="0"/>
                    <w:adjustRightInd/>
                    <w:spacing w:line="240" w:lineRule="auto"/>
                    <w:ind w:right="0" w:rightChars="0" w:firstLine="420" w:firstLineChars="200"/>
                    <w:jc w:val="left"/>
                    <w:rPr>
                      <w:rFonts w:hint="default" w:ascii="Times New Roman" w:hAnsi="Times New Roman" w:eastAsia="宋体" w:cs="宋体"/>
                      <w:b w:val="0"/>
                      <w:bCs w:val="0"/>
                      <w:caps w:val="0"/>
                      <w:color w:val="auto"/>
                      <w:kern w:val="2"/>
                      <w:sz w:val="21"/>
                      <w:szCs w:val="21"/>
                      <w:highlight w:val="none"/>
                      <w:lang w:val="en-US" w:eastAsia="zh-CN" w:bidi="ar-SA"/>
                    </w:rPr>
                  </w:pPr>
                  <w:r>
                    <w:rPr>
                      <w:rFonts w:hint="default" w:ascii="Times New Roman" w:hAnsi="Times New Roman" w:eastAsia="宋体" w:cs="宋体"/>
                      <w:b w:val="0"/>
                      <w:bCs w:val="0"/>
                      <w:caps w:val="0"/>
                      <w:color w:val="auto"/>
                      <w:kern w:val="2"/>
                      <w:sz w:val="21"/>
                      <w:szCs w:val="21"/>
                      <w:highlight w:val="none"/>
                      <w:lang w:val="en-US" w:eastAsia="zh-CN" w:bidi="ar-SA"/>
                    </w:rPr>
                    <w:t>1</w:t>
                  </w:r>
                  <w:r>
                    <w:rPr>
                      <w:rFonts w:hint="eastAsia" w:ascii="Times New Roman" w:hAnsi="Times New Roman" w:eastAsia="宋体" w:cs="宋体"/>
                      <w:b w:val="0"/>
                      <w:bCs w:val="0"/>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kern w:val="2"/>
                      <w:sz w:val="21"/>
                      <w:szCs w:val="21"/>
                      <w:highlight w:val="none"/>
                      <w:lang w:val="en-US" w:eastAsia="zh-CN" w:bidi="ar-SA"/>
                    </w:rPr>
                    <w:t>推进污水再生利用设施建设。2</w:t>
                  </w:r>
                  <w:r>
                    <w:rPr>
                      <w:rFonts w:hint="eastAsia" w:ascii="Times New Roman" w:hAnsi="Times New Roman" w:eastAsia="宋体" w:cs="宋体"/>
                      <w:b w:val="0"/>
                      <w:bCs w:val="0"/>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kern w:val="2"/>
                      <w:sz w:val="21"/>
                      <w:szCs w:val="21"/>
                      <w:highlight w:val="none"/>
                      <w:lang w:val="en-US" w:eastAsia="zh-CN" w:bidi="ar-SA"/>
                    </w:rPr>
                    <w:t>公共建筑必须采用节水器具，限期淘汰公共建筑中不符合节水标准的水嘴、便器水箱等生活用水器具。</w:t>
                  </w:r>
                </w:p>
              </w:tc>
              <w:tc>
                <w:tcPr>
                  <w:tcW w:w="1983" w:type="dxa"/>
                  <w:tcBorders>
                    <w:tl2br w:val="nil"/>
                    <w:tr2bl w:val="nil"/>
                  </w:tcBorders>
                  <w:noWrap w:val="0"/>
                  <w:vAlign w:val="center"/>
                </w:tcPr>
                <w:p w14:paraId="6B18411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本项目建成后推荐使用节水设施。</w:t>
                  </w:r>
                </w:p>
              </w:tc>
            </w:tr>
          </w:tbl>
          <w:p w14:paraId="01B02741">
            <w:pPr>
              <w:keepNext w:val="0"/>
              <w:keepLines w:val="0"/>
              <w:pageBreakBefore w:val="0"/>
              <w:widowControl w:val="0"/>
              <w:shd w:val="clea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3）一说明</w:t>
            </w:r>
          </w:p>
          <w:p w14:paraId="16A33A58">
            <w:pPr>
              <w:keepNext w:val="0"/>
              <w:keepLines w:val="0"/>
              <w:pageBreakBefore w:val="0"/>
              <w:widowControl w:val="0"/>
              <w:shd w:val="clea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caps w:val="0"/>
                <w:color w:val="auto"/>
                <w:sz w:val="24"/>
                <w:szCs w:val="24"/>
                <w:highlight w:val="none"/>
                <w:lang w:val="en-US" w:eastAsia="zh-CN"/>
              </w:rPr>
              <w:t>由上表可知，本项目的建设符合《黑龙江省人民政府关于实施“三线一单”生态环境分区管控的意见》（黑政发〔2020〕14号），</w:t>
            </w:r>
            <w:r>
              <w:rPr>
                <w:rFonts w:ascii="Times New Roman" w:hAnsi="Times New Roman" w:eastAsia="宋体" w:cs="宋体"/>
                <w:caps w:val="0"/>
                <w:spacing w:val="-1"/>
                <w:sz w:val="24"/>
                <w:szCs w:val="24"/>
                <w:highlight w:val="none"/>
              </w:rPr>
              <w:t>《鸡西市人民政府关于实施</w:t>
            </w:r>
            <w:r>
              <w:rPr>
                <w:rFonts w:hint="eastAsia" w:ascii="Times New Roman" w:hAnsi="Times New Roman" w:eastAsia="宋体" w:cs="宋体"/>
                <w:caps w:val="0"/>
                <w:spacing w:val="-1"/>
                <w:sz w:val="24"/>
                <w:szCs w:val="24"/>
                <w:highlight w:val="none"/>
                <w:lang w:eastAsia="zh-CN"/>
              </w:rPr>
              <w:t>“</w:t>
            </w:r>
            <w:r>
              <w:rPr>
                <w:rFonts w:ascii="Times New Roman" w:hAnsi="Times New Roman" w:eastAsia="宋体" w:cs="宋体"/>
                <w:caps w:val="0"/>
                <w:spacing w:val="-1"/>
                <w:sz w:val="24"/>
                <w:szCs w:val="24"/>
                <w:highlight w:val="none"/>
              </w:rPr>
              <w:t>三线一单</w:t>
            </w:r>
            <w:r>
              <w:rPr>
                <w:rFonts w:ascii="Times New Roman" w:hAnsi="Times New Roman" w:eastAsia="宋体" w:cs="宋体"/>
                <w:caps w:val="0"/>
                <w:spacing w:val="-89"/>
                <w:sz w:val="24"/>
                <w:szCs w:val="24"/>
                <w:highlight w:val="none"/>
              </w:rPr>
              <w:t xml:space="preserve"> </w:t>
            </w:r>
            <w:r>
              <w:rPr>
                <w:rFonts w:hint="eastAsia" w:ascii="Times New Roman" w:hAnsi="Times New Roman" w:eastAsia="宋体" w:cs="宋体"/>
                <w:caps w:val="0"/>
                <w:spacing w:val="-1"/>
                <w:sz w:val="24"/>
                <w:szCs w:val="24"/>
                <w:highlight w:val="none"/>
                <w:lang w:eastAsia="zh-CN"/>
              </w:rPr>
              <w:t>”</w:t>
            </w:r>
            <w:r>
              <w:rPr>
                <w:rFonts w:ascii="Times New Roman" w:hAnsi="Times New Roman" w:eastAsia="宋体" w:cs="宋体"/>
                <w:caps w:val="0"/>
                <w:spacing w:val="-1"/>
                <w:sz w:val="24"/>
                <w:szCs w:val="24"/>
                <w:highlight w:val="none"/>
              </w:rPr>
              <w:t>生态环境分区控制的意见</w:t>
            </w:r>
            <w:r>
              <w:rPr>
                <w:rFonts w:ascii="Times New Roman" w:hAnsi="Times New Roman" w:eastAsia="宋体" w:cs="宋体"/>
                <w:caps w:val="0"/>
                <w:spacing w:val="-2"/>
                <w:sz w:val="24"/>
                <w:szCs w:val="24"/>
                <w:highlight w:val="none"/>
              </w:rPr>
              <w:t>》（鸡政发〔2021〕7号）</w:t>
            </w:r>
            <w:r>
              <w:rPr>
                <w:rFonts w:hint="eastAsia" w:ascii="Times New Roman" w:hAnsi="Times New Roman" w:eastAsia="宋体" w:cs="宋体"/>
                <w:caps w:val="0"/>
                <w:color w:val="auto"/>
                <w:kern w:val="2"/>
                <w:sz w:val="24"/>
                <w:szCs w:val="24"/>
                <w:highlight w:val="none"/>
              </w:rPr>
              <w:t>及</w:t>
            </w:r>
            <w:r>
              <w:rPr>
                <w:rFonts w:ascii="Times New Roman" w:hAnsi="Times New Roman" w:eastAsia="宋体" w:cs="宋体"/>
                <w:caps w:val="0"/>
                <w:spacing w:val="-5"/>
                <w:sz w:val="24"/>
                <w:szCs w:val="24"/>
                <w:highlight w:val="none"/>
              </w:rPr>
              <w:t>《鸡西市生态环境准入清</w:t>
            </w:r>
            <w:r>
              <w:rPr>
                <w:rFonts w:ascii="Times New Roman" w:hAnsi="Times New Roman" w:eastAsia="宋体" w:cs="宋体"/>
                <w:caps w:val="0"/>
                <w:spacing w:val="-1"/>
                <w:sz w:val="24"/>
                <w:szCs w:val="24"/>
                <w:highlight w:val="none"/>
              </w:rPr>
              <w:t>单》（2023年版）</w:t>
            </w:r>
            <w:r>
              <w:rPr>
                <w:rFonts w:hint="eastAsia" w:ascii="Times New Roman" w:hAnsi="Times New Roman" w:eastAsia="宋体" w:cs="宋体"/>
                <w:caps w:val="0"/>
                <w:color w:val="auto"/>
                <w:kern w:val="2"/>
                <w:sz w:val="24"/>
                <w:szCs w:val="24"/>
                <w:highlight w:val="none"/>
                <w:lang w:val="en-US" w:eastAsia="zh-CN"/>
              </w:rPr>
              <w:t>相关要求。</w:t>
            </w:r>
          </w:p>
          <w:p w14:paraId="2EB73056">
            <w:pPr>
              <w:spacing w:line="360" w:lineRule="auto"/>
              <w:ind w:left="0" w:leftChars="0" w:firstLine="0" w:firstLineChars="0"/>
              <w:rPr>
                <w:rFonts w:hint="eastAsia" w:ascii="Times New Roman" w:hAnsi="Times New Roman" w:eastAsia="宋体" w:cs="宋体"/>
                <w:caps w:val="0"/>
                <w:color w:val="auto"/>
                <w:kern w:val="0"/>
                <w:sz w:val="24"/>
                <w:szCs w:val="24"/>
                <w:highlight w:val="none"/>
                <w:lang w:val="en-US" w:eastAsia="zh-CN" w:bidi="ar"/>
              </w:rPr>
            </w:pPr>
            <w:r>
              <w:rPr>
                <w:rFonts w:hint="eastAsia" w:ascii="Times New Roman" w:hAnsi="Times New Roman" w:eastAsia="宋体" w:cs="宋体"/>
                <w:caps w:val="0"/>
                <w:color w:val="auto"/>
                <w:kern w:val="0"/>
                <w:sz w:val="24"/>
                <w:szCs w:val="24"/>
                <w:highlight w:val="none"/>
                <w:lang w:val="en-US" w:eastAsia="zh-CN" w:bidi="ar"/>
              </w:rPr>
              <w:t>根据鸡西市燎盛新材料科技有限公司锅炉改造项目生态环境分区管控分析报告，鸡西市燎盛新材料科技有限公司锅炉改造项目位置涉及鸡西市梨树区</w:t>
            </w:r>
            <w:r>
              <w:rPr>
                <w:rFonts w:hint="eastAsia" w:ascii="Times New Roman" w:hAnsi="Times New Roman" w:eastAsia="宋体" w:cs="宋体"/>
                <w:caps w:val="0"/>
                <w:color w:val="auto"/>
                <w:kern w:val="0"/>
                <w:sz w:val="24"/>
                <w:szCs w:val="24"/>
                <w:highlight w:val="none"/>
                <w:u w:val="none"/>
                <w:lang w:val="en-US" w:eastAsia="zh-CN" w:bidi="ar"/>
              </w:rPr>
              <w:t>；鸡西市燎盛新材料科技有限公司锅炉改造项目与生态保护红线无交集；与自然保护地无交集；</w:t>
            </w:r>
            <w:r>
              <w:rPr>
                <w:rFonts w:hint="eastAsia" w:ascii="Times New Roman" w:hAnsi="Times New Roman" w:eastAsia="宋体" w:cs="宋体"/>
                <w:caps w:val="0"/>
                <w:color w:val="auto"/>
                <w:kern w:val="0"/>
                <w:sz w:val="24"/>
                <w:szCs w:val="24"/>
                <w:highlight w:val="none"/>
                <w:lang w:val="en-US" w:eastAsia="zh-CN" w:bidi="ar"/>
              </w:rPr>
              <w:t>与饮用水水源保护区无交集；与国家级水产种质资源保护区无交集；与环境管控单元优先保护单元无交集，与环境管控单元重点管控单元有交集，占项目占地面积的100.00%；与环境管控单元一般管控单元无交集。</w:t>
            </w:r>
          </w:p>
          <w:p w14:paraId="2804C066">
            <w:pPr>
              <w:spacing w:line="360" w:lineRule="auto"/>
              <w:ind w:left="0" w:leftChars="0" w:firstLine="0" w:firstLineChars="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lang w:val="en-US" w:eastAsia="zh-CN"/>
              </w:rPr>
              <w:t>（6）</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三线一单</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符合性结论</w:t>
            </w:r>
          </w:p>
          <w:p w14:paraId="33380E99">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b/>
                <w:bCs w:val="0"/>
                <w:caps w:val="0"/>
                <w:spacing w:val="0"/>
                <w:sz w:val="28"/>
                <w:szCs w:val="28"/>
                <w:highlight w:val="none"/>
                <w:lang w:val="en-US" w:eastAsia="zh-CN"/>
              </w:rPr>
            </w:pPr>
            <w:r>
              <w:rPr>
                <w:rFonts w:hint="eastAsia" w:ascii="Times New Roman" w:hAnsi="Times New Roman" w:eastAsia="宋体" w:cs="宋体"/>
                <w:caps w:val="0"/>
                <w:spacing w:val="0"/>
                <w:sz w:val="24"/>
                <w:szCs w:val="24"/>
                <w:highlight w:val="none"/>
              </w:rPr>
              <w:t>综</w:t>
            </w:r>
            <w:r>
              <w:rPr>
                <w:rFonts w:hint="eastAsia" w:ascii="Times New Roman" w:hAnsi="Times New Roman" w:eastAsia="宋体" w:cs="宋体"/>
                <w:bCs/>
                <w:caps w:val="0"/>
                <w:spacing w:val="0"/>
                <w:sz w:val="24"/>
                <w:szCs w:val="24"/>
                <w:highlight w:val="none"/>
              </w:rPr>
              <w:t>上，本项目</w:t>
            </w:r>
            <w:r>
              <w:rPr>
                <w:rFonts w:hint="eastAsia" w:ascii="Times New Roman" w:hAnsi="Times New Roman" w:eastAsia="宋体" w:cs="宋体"/>
                <w:bCs w:val="0"/>
                <w:caps w:val="0"/>
                <w:spacing w:val="0"/>
                <w:kern w:val="2"/>
                <w:sz w:val="24"/>
                <w:szCs w:val="24"/>
                <w:highlight w:val="none"/>
                <w:lang w:val="zh-CN" w:eastAsia="zh-CN" w:bidi="ar-SA"/>
              </w:rPr>
              <w:t>选址不涉及</w:t>
            </w:r>
            <w:r>
              <w:rPr>
                <w:rFonts w:hint="eastAsia" w:ascii="Times New Roman" w:hAnsi="Times New Roman" w:eastAsia="宋体" w:cs="宋体"/>
                <w:bCs w:val="0"/>
                <w:caps w:val="0"/>
                <w:spacing w:val="0"/>
                <w:kern w:val="2"/>
                <w:sz w:val="24"/>
                <w:szCs w:val="24"/>
                <w:highlight w:val="none"/>
                <w:lang w:val="en-US" w:eastAsia="zh-CN" w:bidi="ar-SA"/>
              </w:rPr>
              <w:t>鸡西市</w:t>
            </w:r>
            <w:r>
              <w:rPr>
                <w:rFonts w:hint="eastAsia" w:ascii="Times New Roman" w:hAnsi="Times New Roman" w:eastAsia="宋体" w:cs="宋体"/>
                <w:bCs w:val="0"/>
                <w:caps w:val="0"/>
                <w:spacing w:val="0"/>
                <w:kern w:val="2"/>
                <w:sz w:val="24"/>
                <w:szCs w:val="24"/>
                <w:highlight w:val="none"/>
                <w:lang w:val="zh-CN" w:eastAsia="zh-CN" w:bidi="ar-SA"/>
              </w:rPr>
              <w:t>划定的生态保护红线，同时符合环境质量底线、资源利用上线以及</w:t>
            </w:r>
            <w:r>
              <w:rPr>
                <w:rFonts w:hint="eastAsia" w:ascii="Times New Roman" w:hAnsi="Times New Roman" w:eastAsia="宋体" w:cs="宋体"/>
                <w:caps w:val="0"/>
                <w:spacing w:val="0"/>
                <w:sz w:val="24"/>
                <w:szCs w:val="24"/>
                <w:highlight w:val="none"/>
                <w:lang w:val="en-US" w:eastAsia="zh-CN"/>
              </w:rPr>
              <w:t>《鸡西市生态环境准入清单》（2023年版）</w:t>
            </w:r>
            <w:r>
              <w:rPr>
                <w:rFonts w:hint="eastAsia" w:ascii="Times New Roman" w:hAnsi="Times New Roman" w:eastAsia="宋体" w:cs="宋体"/>
                <w:bCs w:val="0"/>
                <w:caps w:val="0"/>
                <w:spacing w:val="0"/>
                <w:kern w:val="2"/>
                <w:sz w:val="24"/>
                <w:szCs w:val="24"/>
                <w:highlight w:val="none"/>
                <w:lang w:val="zh-CN" w:eastAsia="zh-CN" w:bidi="ar-SA"/>
              </w:rPr>
              <w:t>管理要求。</w:t>
            </w:r>
            <w:r>
              <w:rPr>
                <w:rFonts w:hint="eastAsia" w:ascii="Times New Roman" w:hAnsi="Times New Roman" w:eastAsia="宋体" w:cs="宋体"/>
                <w:caps w:val="0"/>
                <w:spacing w:val="0"/>
                <w:sz w:val="24"/>
                <w:szCs w:val="24"/>
                <w:highlight w:val="none"/>
                <w:lang w:val="en-US" w:eastAsia="zh-CN"/>
              </w:rPr>
              <w:t>本项目产生的废气主要为</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szCs w:val="24"/>
                <w:highlight w:val="none"/>
                <w:lang w:val="en-US" w:eastAsia="zh-CN"/>
              </w:rPr>
              <w:t>产生</w:t>
            </w:r>
            <w:r>
              <w:rPr>
                <w:rFonts w:hint="eastAsia" w:ascii="Times New Roman" w:hAnsi="Times New Roman" w:eastAsia="宋体" w:cs="宋体"/>
                <w:caps w:val="0"/>
                <w:spacing w:val="0"/>
                <w:sz w:val="24"/>
                <w:highlight w:val="none"/>
                <w:lang w:val="en-US" w:eastAsia="zh-CN"/>
              </w:rPr>
              <w:t>颗粒物、二氧化硫、氮氧化物、烟气黑度</w:t>
            </w:r>
            <w:r>
              <w:rPr>
                <w:rFonts w:hint="eastAsia" w:ascii="Times New Roman" w:hAnsi="Times New Roman" w:cs="宋体"/>
                <w:caps w:val="0"/>
                <w:spacing w:val="0"/>
                <w:sz w:val="24"/>
                <w:highlight w:val="none"/>
                <w:lang w:val="en-US" w:eastAsia="zh-CN"/>
              </w:rPr>
              <w:t>以及燃料储罐大小呼吸废气</w:t>
            </w:r>
            <w:r>
              <w:rPr>
                <w:rFonts w:hint="eastAsia" w:ascii="Times New Roman" w:hAnsi="Times New Roman" w:eastAsia="宋体" w:cs="宋体"/>
                <w:caps w:val="0"/>
                <w:spacing w:val="0"/>
                <w:sz w:val="24"/>
                <w:szCs w:val="24"/>
                <w:highlight w:val="none"/>
                <w:lang w:val="en-US" w:eastAsia="zh-CN"/>
              </w:rPr>
              <w:t>。</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szCs w:val="24"/>
                <w:highlight w:val="none"/>
                <w:lang w:val="en-US" w:eastAsia="zh-CN"/>
              </w:rPr>
              <w:t>废气经由2根20m</w:t>
            </w:r>
            <w:r>
              <w:rPr>
                <w:rFonts w:hint="eastAsia" w:ascii="Times New Roman" w:hAnsi="Times New Roman" w:eastAsia="宋体" w:cs="宋体"/>
                <w:caps w:val="0"/>
                <w:spacing w:val="0"/>
                <w:sz w:val="24"/>
                <w:szCs w:val="24"/>
                <w:highlight w:val="none"/>
              </w:rPr>
              <w:t>高排气筒</w:t>
            </w:r>
            <w:r>
              <w:rPr>
                <w:rFonts w:hint="eastAsia" w:ascii="Times New Roman" w:hAnsi="Times New Roman" w:eastAsia="宋体" w:cs="宋体"/>
                <w:caps w:val="0"/>
                <w:spacing w:val="0"/>
                <w:sz w:val="24"/>
                <w:szCs w:val="24"/>
                <w:highlight w:val="none"/>
                <w:lang w:val="en-US" w:eastAsia="zh-CN"/>
              </w:rPr>
              <w:t>DA003、DA004有组织</w:t>
            </w:r>
            <w:r>
              <w:rPr>
                <w:rFonts w:hint="eastAsia" w:ascii="Times New Roman" w:hAnsi="Times New Roman" w:eastAsia="宋体" w:cs="宋体"/>
                <w:caps w:val="0"/>
                <w:spacing w:val="0"/>
                <w:sz w:val="24"/>
                <w:szCs w:val="24"/>
                <w:highlight w:val="none"/>
              </w:rPr>
              <w:t>排放</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lang w:val="en-US" w:eastAsia="zh-CN"/>
              </w:rPr>
              <w:t>废气排放满足</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锅炉大气污染物排放标准</w:t>
            </w:r>
            <w:r>
              <w:rPr>
                <w:rFonts w:hint="eastAsia" w:ascii="Times New Roman" w:hAnsi="Times New Roman" w:eastAsia="宋体" w:cs="宋体"/>
                <w:caps w:val="0"/>
                <w:spacing w:val="0"/>
                <w:sz w:val="24"/>
                <w:highlight w:val="none"/>
              </w:rPr>
              <w:t>》（GB</w:t>
            </w:r>
            <w:r>
              <w:rPr>
                <w:rFonts w:hint="eastAsia" w:ascii="Times New Roman" w:hAnsi="Times New Roman" w:eastAsia="宋体" w:cs="宋体"/>
                <w:caps w:val="0"/>
                <w:spacing w:val="0"/>
                <w:sz w:val="24"/>
                <w:highlight w:val="none"/>
                <w:lang w:val="en-US" w:eastAsia="zh-CN"/>
              </w:rPr>
              <w:t>13271</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2014</w:t>
            </w:r>
            <w:r>
              <w:rPr>
                <w:rFonts w:hint="eastAsia" w:ascii="Times New Roman" w:hAnsi="Times New Roman" w:eastAsia="宋体" w:cs="宋体"/>
                <w:caps w:val="0"/>
                <w:spacing w:val="0"/>
                <w:sz w:val="24"/>
                <w:highlight w:val="none"/>
              </w:rPr>
              <w:t>）表</w:t>
            </w:r>
            <w:r>
              <w:rPr>
                <w:rFonts w:hint="eastAsia" w:ascii="Times New Roman" w:hAnsi="Times New Roman" w:eastAsia="宋体" w:cs="宋体"/>
                <w:caps w:val="0"/>
                <w:spacing w:val="0"/>
                <w:sz w:val="24"/>
                <w:highlight w:val="none"/>
                <w:lang w:val="en-US" w:eastAsia="zh-CN"/>
              </w:rPr>
              <w:t>2</w:t>
            </w:r>
            <w:r>
              <w:rPr>
                <w:rFonts w:hint="eastAsia" w:ascii="Times New Roman" w:hAnsi="Times New Roman" w:eastAsia="宋体" w:cs="宋体"/>
                <w:caps w:val="0"/>
                <w:spacing w:val="0"/>
                <w:sz w:val="24"/>
                <w:highlight w:val="none"/>
              </w:rPr>
              <w:t>中</w:t>
            </w:r>
            <w:r>
              <w:rPr>
                <w:rFonts w:hint="eastAsia" w:ascii="Times New Roman" w:hAnsi="Times New Roman" w:eastAsia="宋体" w:cs="宋体"/>
                <w:caps w:val="0"/>
                <w:spacing w:val="0"/>
                <w:sz w:val="24"/>
                <w:highlight w:val="none"/>
                <w:lang w:val="en-US" w:eastAsia="zh-CN"/>
              </w:rPr>
              <w:t>锅炉排放限值</w:t>
            </w:r>
            <w:r>
              <w:rPr>
                <w:rFonts w:hint="eastAsia" w:ascii="Times New Roman" w:hAnsi="Times New Roman" w:cs="宋体"/>
                <w:caps w:val="0"/>
                <w:spacing w:val="0"/>
                <w:sz w:val="24"/>
                <w:highlight w:val="none"/>
                <w:lang w:val="en-US" w:eastAsia="zh-CN"/>
              </w:rPr>
              <w:t>；燃料储罐大小呼吸废气非甲烷总烃年产生量较小，无组织排放不会对大气环境造成明显影响</w:t>
            </w:r>
            <w:r>
              <w:rPr>
                <w:rFonts w:hint="eastAsia" w:ascii="Times New Roman" w:hAnsi="Times New Roman" w:eastAsia="宋体" w:cs="宋体"/>
                <w:bCs w:val="0"/>
                <w:caps w:val="0"/>
                <w:spacing w:val="0"/>
                <w:kern w:val="2"/>
                <w:sz w:val="24"/>
                <w:szCs w:val="24"/>
                <w:highlight w:val="none"/>
                <w:lang w:val="en-US" w:eastAsia="zh-CN" w:bidi="ar-SA"/>
              </w:rPr>
              <w:t>。</w:t>
            </w:r>
            <w:r>
              <w:rPr>
                <w:rFonts w:hint="eastAsia" w:ascii="Times New Roman" w:hAnsi="Times New Roman" w:eastAsia="宋体" w:cs="宋体"/>
                <w:caps w:val="0"/>
                <w:spacing w:val="0"/>
                <w:sz w:val="24"/>
                <w:szCs w:val="24"/>
                <w:highlight w:val="none"/>
                <w:lang w:val="en-US" w:eastAsia="zh-CN"/>
              </w:rPr>
              <w:t>运营期设备噪声通过</w:t>
            </w:r>
            <w:r>
              <w:rPr>
                <w:rFonts w:hint="eastAsia" w:ascii="Times New Roman" w:hAnsi="Times New Roman" w:eastAsia="宋体" w:cs="宋体"/>
                <w:caps w:val="0"/>
                <w:spacing w:val="0"/>
                <w:sz w:val="24"/>
                <w:szCs w:val="24"/>
                <w:highlight w:val="none"/>
                <w:lang w:eastAsia="zh-CN"/>
              </w:rPr>
              <w:t>厂房隔声</w:t>
            </w:r>
            <w:r>
              <w:rPr>
                <w:rFonts w:hint="eastAsia" w:ascii="Times New Roman" w:hAnsi="Times New Roman" w:eastAsia="宋体" w:cs="宋体"/>
                <w:caps w:val="0"/>
                <w:spacing w:val="0"/>
                <w:sz w:val="24"/>
                <w:szCs w:val="24"/>
                <w:highlight w:val="none"/>
              </w:rPr>
              <w:t>、</w:t>
            </w:r>
            <w:r>
              <w:rPr>
                <w:rFonts w:hint="eastAsia" w:ascii="Times New Roman" w:hAnsi="Times New Roman" w:eastAsia="宋体" w:cs="宋体"/>
                <w:caps w:val="0"/>
                <w:spacing w:val="0"/>
                <w:sz w:val="24"/>
                <w:szCs w:val="24"/>
                <w:highlight w:val="none"/>
                <w:lang w:eastAsia="zh-CN"/>
              </w:rPr>
              <w:t>设置</w:t>
            </w:r>
            <w:r>
              <w:rPr>
                <w:rFonts w:hint="eastAsia" w:ascii="Times New Roman" w:hAnsi="Times New Roman" w:eastAsia="宋体" w:cs="宋体"/>
                <w:caps w:val="0"/>
                <w:spacing w:val="0"/>
                <w:sz w:val="24"/>
                <w:szCs w:val="24"/>
                <w:highlight w:val="none"/>
              </w:rPr>
              <w:t>基础减振</w:t>
            </w:r>
            <w:r>
              <w:rPr>
                <w:rFonts w:hint="eastAsia" w:ascii="Times New Roman" w:hAnsi="Times New Roman" w:eastAsia="宋体" w:cs="宋体"/>
                <w:caps w:val="0"/>
                <w:spacing w:val="0"/>
                <w:sz w:val="24"/>
                <w:szCs w:val="24"/>
                <w:highlight w:val="none"/>
                <w:lang w:val="en-US" w:eastAsia="zh-CN"/>
              </w:rPr>
              <w:t>措施，对周围声环境影响较小。</w:t>
            </w:r>
            <w:r>
              <w:rPr>
                <w:rFonts w:hint="eastAsia" w:ascii="Times New Roman" w:hAnsi="Times New Roman" w:eastAsia="宋体" w:cs="宋体"/>
                <w:caps w:val="0"/>
                <w:color w:val="auto"/>
                <w:spacing w:val="0"/>
                <w:sz w:val="24"/>
                <w:szCs w:val="24"/>
                <w:highlight w:val="none"/>
                <w:lang w:val="en-US" w:eastAsia="zh-CN"/>
              </w:rPr>
              <w:t>布袋除尘器产生废布袋</w:t>
            </w:r>
            <w:r>
              <w:rPr>
                <w:rFonts w:hint="eastAsia" w:ascii="Times New Roman" w:hAnsi="Times New Roman" w:eastAsia="宋体" w:cs="宋体"/>
                <w:caps w:val="0"/>
                <w:color w:val="auto"/>
                <w:spacing w:val="0"/>
                <w:sz w:val="24"/>
                <w:szCs w:val="24"/>
                <w:highlight w:val="none"/>
                <w:lang w:eastAsia="zh-CN"/>
              </w:rPr>
              <w:t>集中收集后</w:t>
            </w:r>
            <w:r>
              <w:rPr>
                <w:rFonts w:hint="eastAsia" w:ascii="Times New Roman" w:hAnsi="Times New Roman" w:eastAsia="宋体" w:cs="宋体"/>
                <w:caps w:val="0"/>
                <w:color w:val="auto"/>
                <w:spacing w:val="0"/>
                <w:sz w:val="24"/>
                <w:szCs w:val="24"/>
                <w:highlight w:val="none"/>
                <w:lang w:val="en-US" w:eastAsia="zh-CN"/>
              </w:rPr>
              <w:t>交由厂家回收再生处理；布袋除尘器集尘外售综合利用，危险废物交有资质单位处置</w:t>
            </w:r>
            <w:r>
              <w:rPr>
                <w:rFonts w:hint="eastAsia" w:ascii="Times New Roman" w:hAnsi="Times New Roman" w:eastAsia="宋体" w:cs="宋体"/>
                <w:caps w:val="0"/>
                <w:color w:val="auto"/>
                <w:spacing w:val="0"/>
                <w:sz w:val="24"/>
                <w:szCs w:val="24"/>
                <w:highlight w:val="none"/>
                <w:lang w:eastAsia="zh-CN"/>
              </w:rPr>
              <w:t>；</w:t>
            </w:r>
            <w:r>
              <w:rPr>
                <w:rFonts w:hint="eastAsia" w:ascii="Times New Roman" w:hAnsi="Times New Roman" w:eastAsia="宋体" w:cs="宋体"/>
                <w:caps w:val="0"/>
                <w:spacing w:val="0"/>
                <w:sz w:val="24"/>
                <w:szCs w:val="24"/>
                <w:highlight w:val="none"/>
                <w:lang w:val="en-US" w:eastAsia="zh-CN"/>
              </w:rPr>
              <w:t>综上所述，项目运营期对周边环境的不利影响可得到有效控制，本项目建设对周围环境影响较小，因此本项目符合</w:t>
            </w:r>
            <w:r>
              <w:rPr>
                <w:rFonts w:hint="eastAsia" w:ascii="Times New Roman" w:hAnsi="Times New Roman" w:eastAsia="宋体" w:cs="宋体"/>
                <w:caps w:val="0"/>
                <w:spacing w:val="0"/>
                <w:highlight w:val="none"/>
              </w:rPr>
              <w:t>《黑龙江省人民政府关于实施</w:t>
            </w:r>
            <w:r>
              <w:rPr>
                <w:rFonts w:hint="eastAsia" w:ascii="Times New Roman" w:hAnsi="Times New Roman" w:eastAsia="宋体" w:cs="宋体"/>
                <w:caps w:val="0"/>
                <w:spacing w:val="0"/>
                <w:highlight w:val="none"/>
                <w:lang w:eastAsia="zh-CN"/>
              </w:rPr>
              <w:t>“</w:t>
            </w:r>
            <w:r>
              <w:rPr>
                <w:rFonts w:hint="eastAsia" w:ascii="Times New Roman" w:hAnsi="Times New Roman" w:eastAsia="宋体" w:cs="宋体"/>
                <w:caps w:val="0"/>
                <w:spacing w:val="0"/>
                <w:highlight w:val="none"/>
              </w:rPr>
              <w:t>三线一单</w:t>
            </w:r>
            <w:r>
              <w:rPr>
                <w:rFonts w:hint="eastAsia" w:ascii="Times New Roman" w:hAnsi="Times New Roman" w:eastAsia="宋体" w:cs="宋体"/>
                <w:caps w:val="0"/>
                <w:spacing w:val="0"/>
                <w:highlight w:val="none"/>
                <w:lang w:eastAsia="zh-CN"/>
              </w:rPr>
              <w:t>”</w:t>
            </w:r>
            <w:r>
              <w:rPr>
                <w:rFonts w:hint="eastAsia" w:ascii="Times New Roman" w:hAnsi="Times New Roman" w:eastAsia="宋体" w:cs="宋体"/>
                <w:caps w:val="0"/>
                <w:spacing w:val="0"/>
                <w:highlight w:val="none"/>
              </w:rPr>
              <w:t>生态环境分区管控的意见》（黑政发〔2020〕14号）</w:t>
            </w:r>
            <w:r>
              <w:rPr>
                <w:rFonts w:hint="eastAsia" w:ascii="Times New Roman" w:hAnsi="Times New Roman" w:eastAsia="宋体" w:cs="宋体"/>
                <w:caps w:val="0"/>
                <w:spacing w:val="0"/>
                <w:sz w:val="24"/>
                <w:szCs w:val="24"/>
                <w:highlight w:val="none"/>
                <w:lang w:val="en-US" w:eastAsia="zh-CN"/>
              </w:rPr>
              <w:t>、《鸡西市人民政府关于实施“三线一单”生态环境分区管控的意见》（鸡政发〔2021〕7号）中要求。</w:t>
            </w:r>
          </w:p>
          <w:p w14:paraId="207727AF">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2.与相关环保政策相符性分析</w:t>
            </w:r>
          </w:p>
          <w:p w14:paraId="7295B833">
            <w:pPr>
              <w:ind w:firstLine="482" w:firstLineChars="200"/>
              <w:rPr>
                <w:rFonts w:hint="eastAsia" w:ascii="Times New Roman" w:hAnsi="Times New Roman" w:eastAsia="宋体" w:cs="宋体"/>
                <w:b/>
                <w:bCs/>
                <w:caps w:val="0"/>
                <w:color w:val="auto"/>
                <w:spacing w:val="0"/>
                <w:sz w:val="24"/>
                <w:highlight w:val="none"/>
              </w:rPr>
            </w:pPr>
            <w:r>
              <w:rPr>
                <w:rFonts w:hint="eastAsia" w:ascii="Times New Roman" w:hAnsi="Times New Roman" w:eastAsia="宋体" w:cs="宋体"/>
                <w:b/>
                <w:bCs/>
                <w:caps w:val="0"/>
                <w:color w:val="auto"/>
                <w:spacing w:val="0"/>
                <w:sz w:val="24"/>
                <w:highlight w:val="none"/>
                <w:lang w:val="en-US" w:eastAsia="zh-CN"/>
              </w:rPr>
              <w:t>2.1</w:t>
            </w:r>
            <w:r>
              <w:rPr>
                <w:rFonts w:hint="eastAsia" w:ascii="Times New Roman" w:hAnsi="Times New Roman" w:eastAsia="宋体" w:cs="宋体"/>
                <w:b/>
                <w:bCs/>
                <w:caps w:val="0"/>
                <w:color w:val="auto"/>
                <w:spacing w:val="0"/>
                <w:sz w:val="24"/>
                <w:highlight w:val="none"/>
              </w:rPr>
              <w:t>与《黑龙江省人民代表大会常务委员会关于修改〈黑龙江省大气污染防治条例〉的决定》（2018年12月27日）符合性分析</w:t>
            </w:r>
          </w:p>
          <w:p w14:paraId="49BCE019">
            <w:pPr>
              <w:ind w:firstLine="480" w:firstLineChars="200"/>
              <w:rPr>
                <w:rFonts w:hint="eastAsia" w:ascii="Times New Roman" w:hAnsi="Times New Roman" w:eastAsia="宋体" w:cs="宋体"/>
                <w:caps w:val="0"/>
                <w:color w:val="auto"/>
                <w:spacing w:val="0"/>
                <w:sz w:val="24"/>
                <w:highlight w:val="none"/>
                <w:lang w:eastAsia="zh-CN"/>
              </w:rPr>
            </w:pPr>
            <w:r>
              <w:rPr>
                <w:rFonts w:hint="eastAsia" w:ascii="Times New Roman" w:hAnsi="Times New Roman" w:eastAsia="宋体" w:cs="宋体"/>
                <w:caps w:val="0"/>
                <w:color w:val="auto"/>
                <w:spacing w:val="0"/>
                <w:sz w:val="24"/>
                <w:highlight w:val="none"/>
              </w:rPr>
              <w:t>在条例中</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rPr>
              <w:t>第三章大气污染防治措施，第一节燃煤污染防治</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rPr>
              <w:t>中</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rPr>
              <w:t>第三十二条要求燃煤电厂、燃煤供热锅炉以及其他燃煤单位，应当采用清洁生产工艺，配套建设除尘、脱硫、脱硝等装置或者采用技术改造等措施，减少大气污染物的产生和排放，排放的大气污染物应当达到规定标准。</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rPr>
              <w:t>第三十三条要求设区的市级城市建成区内，禁止新建额定蒸发量低于每小时二十吨或者额定功率低于十四兆瓦的燃煤锅炉；已经建成的额定蒸发量每小时十吨以下或者额定功率七兆瓦以下的燃煤锅炉，应当在国家规定的期限内淘汰。国家对新建和淘汰燃煤锅炉另有规定的，从其规定。</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rPr>
              <w:t>，</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rPr>
              <w:t>第三十五条要求设区的市级人民政府和县级人民政府应当积极推进棚户区改造，推行热电联产和区域锅炉等集中供热方式，逐步提高集中供热比例，制定计划将应当淘汰的分散燃煤锅炉供热区域纳入集中供热管网覆盖范围，并负责组织实施。在集中供热管网未覆盖的区域，推广使用高效节能环保型锅炉或者进行锅炉高效除尘改造，或者使用新能源、清洁能源供热。</w:t>
            </w:r>
            <w:r>
              <w:rPr>
                <w:rFonts w:hint="eastAsia" w:ascii="Times New Roman" w:hAnsi="Times New Roman" w:eastAsia="宋体" w:cs="宋体"/>
                <w:caps w:val="0"/>
                <w:color w:val="auto"/>
                <w:spacing w:val="0"/>
                <w:sz w:val="24"/>
                <w:highlight w:val="none"/>
                <w:lang w:eastAsia="zh-CN"/>
              </w:rPr>
              <w:t>”</w:t>
            </w:r>
          </w:p>
          <w:p w14:paraId="3A46496E">
            <w:pPr>
              <w:ind w:firstLine="480" w:firstLineChars="200"/>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szCs w:val="24"/>
                <w:highlight w:val="none"/>
                <w:lang w:val="en-US" w:eastAsia="zh-CN"/>
              </w:rPr>
              <w:t>第二十九条各级人民政府应当调整能源结构，推广清洁能源的生产和使用，制定并组织实施煤炭消费总量控制规划，减少煤炭生产、使用、转化过程中的大气污染物排放。</w:t>
            </w:r>
          </w:p>
          <w:p w14:paraId="24D77FEF">
            <w:pPr>
              <w:ind w:firstLine="480" w:firstLineChars="200"/>
              <w:rPr>
                <w:rFonts w:hint="eastAsia" w:ascii="Times New Roman" w:hAnsi="Times New Roman" w:eastAsia="宋体" w:cs="宋体"/>
                <w:b/>
                <w:bCs/>
                <w:caps w:val="0"/>
                <w:color w:val="auto"/>
                <w:spacing w:val="0"/>
                <w:sz w:val="24"/>
                <w:szCs w:val="24"/>
                <w:highlight w:val="none"/>
                <w:lang w:val="en-US" w:eastAsia="zh-CN"/>
              </w:rPr>
            </w:pPr>
            <w:r>
              <w:rPr>
                <w:rFonts w:hint="eastAsia" w:ascii="Times New Roman" w:hAnsi="Times New Roman" w:eastAsia="宋体" w:cs="宋体"/>
                <w:caps w:val="0"/>
                <w:color w:val="auto"/>
                <w:spacing w:val="0"/>
                <w:sz w:val="24"/>
                <w:highlight w:val="none"/>
              </w:rPr>
              <w:t>本项目</w:t>
            </w:r>
            <w:r>
              <w:rPr>
                <w:rFonts w:hint="eastAsia" w:ascii="Times New Roman" w:hAnsi="Times New Roman" w:eastAsia="宋体" w:cs="宋体"/>
                <w:caps w:val="0"/>
                <w:color w:val="auto"/>
                <w:spacing w:val="0"/>
                <w:sz w:val="24"/>
                <w:highlight w:val="none"/>
                <w:lang w:val="en-US" w:eastAsia="zh-CN"/>
              </w:rPr>
              <w:t>改造1台和扩建2台0.35MW轻质柴油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lang w:val="en-US" w:eastAsia="zh-CN"/>
              </w:rPr>
              <w:t>两用一备</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rPr>
              <w:t>，</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highlight w:val="none"/>
              </w:rPr>
              <w:t>烟气经布袋除尘器处理后通过</w:t>
            </w:r>
            <w:r>
              <w:rPr>
                <w:rFonts w:hint="eastAsia" w:ascii="Times New Roman" w:hAnsi="Times New Roman" w:eastAsia="宋体" w:cs="宋体"/>
                <w:caps w:val="0"/>
                <w:color w:val="auto"/>
                <w:spacing w:val="0"/>
                <w:sz w:val="24"/>
                <w:highlight w:val="none"/>
                <w:lang w:val="en-US" w:eastAsia="zh-CN"/>
              </w:rPr>
              <w:t>20m</w:t>
            </w:r>
            <w:r>
              <w:rPr>
                <w:rFonts w:hint="eastAsia" w:ascii="Times New Roman" w:hAnsi="Times New Roman" w:eastAsia="宋体" w:cs="宋体"/>
                <w:caps w:val="0"/>
                <w:color w:val="auto"/>
                <w:spacing w:val="0"/>
                <w:sz w:val="24"/>
                <w:highlight w:val="none"/>
              </w:rPr>
              <w:t>高烟囱（DA0</w:t>
            </w:r>
            <w:r>
              <w:rPr>
                <w:rFonts w:hint="eastAsia" w:ascii="Times New Roman" w:hAnsi="Times New Roman" w:eastAsia="宋体" w:cs="宋体"/>
                <w:caps w:val="0"/>
                <w:color w:val="auto"/>
                <w:spacing w:val="0"/>
                <w:sz w:val="24"/>
                <w:highlight w:val="none"/>
                <w:lang w:val="en-US" w:eastAsia="zh-CN"/>
              </w:rPr>
              <w:t>03、DA004</w:t>
            </w:r>
            <w:r>
              <w:rPr>
                <w:rFonts w:hint="eastAsia" w:ascii="Times New Roman" w:hAnsi="Times New Roman" w:eastAsia="宋体" w:cs="宋体"/>
                <w:caps w:val="0"/>
                <w:color w:val="auto"/>
                <w:spacing w:val="0"/>
                <w:sz w:val="24"/>
                <w:highlight w:val="none"/>
              </w:rPr>
              <w:t>）排放，燃料为</w:t>
            </w:r>
            <w:r>
              <w:rPr>
                <w:rFonts w:hint="eastAsia" w:ascii="Times New Roman" w:hAnsi="Times New Roman" w:eastAsia="宋体" w:cs="宋体"/>
                <w:caps w:val="0"/>
                <w:color w:val="auto"/>
                <w:spacing w:val="0"/>
                <w:sz w:val="24"/>
                <w:highlight w:val="none"/>
                <w:lang w:eastAsia="zh-CN"/>
              </w:rPr>
              <w:t>轻质柴油</w:t>
            </w:r>
            <w:r>
              <w:rPr>
                <w:rFonts w:hint="eastAsia" w:ascii="Times New Roman" w:hAnsi="Times New Roman" w:eastAsia="宋体" w:cs="宋体"/>
                <w:caps w:val="0"/>
                <w:color w:val="auto"/>
                <w:spacing w:val="0"/>
                <w:sz w:val="24"/>
                <w:highlight w:val="none"/>
              </w:rPr>
              <w:t>，不使用原煤。综上，本项目的建设符合《黑龙江省人民代表大会常务委员会关于修改〈黑龙江省大气污染防治条例〉的决定》（2018 年12月27日）的环境管理要求。</w:t>
            </w:r>
          </w:p>
          <w:p w14:paraId="02A02972">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2.2与《黑龙江省大气污染防治行动计划实施细则》符合性分析</w:t>
            </w:r>
          </w:p>
          <w:p w14:paraId="3F752495">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b w:val="0"/>
                <w:bCs/>
                <w:caps w:val="0"/>
                <w:spacing w:val="0"/>
                <w:sz w:val="24"/>
                <w:szCs w:val="24"/>
                <w:highlight w:val="none"/>
                <w:lang w:val="en-US" w:eastAsia="zh-CN"/>
              </w:rPr>
            </w:pPr>
            <w:r>
              <w:rPr>
                <w:rFonts w:hint="eastAsia" w:ascii="Times New Roman" w:hAnsi="Times New Roman" w:eastAsia="宋体" w:cs="宋体"/>
                <w:b w:val="0"/>
                <w:bCs/>
                <w:caps w:val="0"/>
                <w:spacing w:val="0"/>
                <w:sz w:val="24"/>
                <w:szCs w:val="24"/>
                <w:highlight w:val="none"/>
                <w:lang w:val="en-US" w:eastAsia="zh-CN"/>
              </w:rPr>
              <w:t>根据《黑龙江省大气污染防治行动计划实施细则》，加大集中供热工程建设，淘汰分散燃煤小锅炉。积极推进“三供两治”工程项目建设，加大城市及周边现有燃煤发电机组的供热改造力度，推进大型集中供热企业接收分散供热小锅炉，拔除小烟筒。积极推进城镇供热锅炉并网工作，加快完善热网和热源基础设施建设及供热老旧管网改造，提高集中供热管网输送能力，扩大集中供热面积，争取到2015年年底，全省县级以上城市集中供热普及率达到70%以上。到2017年年底，全省城市建成区集中供热普及率达到73%以上。从2014年起，禁止新建20蒸吨以下燃煤锅炉。到2015年年底，除必要保留外，全省地级以上城市建成区基本淘汰10蒸吨及以下燃煤锅炉。加快推进工业企业集中供热工作，到2017年年底，现有各类工业园区与工业集中区应基本完成热电联产或集中供热改造。供热供气管网覆盖不到的城乡结合部，要改用电、新能源、洁净煤或再生能源，推广应用高效节能环保型锅炉。且抛煤机和往复炉排等层燃锅炉要使用含硫量低于0.5%、灰分小于27%、全水分15%以下、低位发热量不低于4700千卡/公斤的洁净配煤，并综合考虑加大动力煤洗选力度、清洁能源替代等多种措施。冲天炉完成电炉改造，或实施每小时5吨以上热风炉和湿式除尘器改造，实现稳定达标排放。燃煤窑炉完成煤气发生炉、水煤浆燃烧器等技术改造或使用清洁能源，实现达标排放。</w:t>
            </w:r>
          </w:p>
          <w:p w14:paraId="31FA5C05">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宋体"/>
                <w:b w:val="0"/>
                <w:bCs/>
                <w:caps w:val="0"/>
                <w:spacing w:val="0"/>
                <w:sz w:val="24"/>
                <w:szCs w:val="24"/>
                <w:highlight w:val="none"/>
                <w:lang w:val="en-US" w:eastAsia="zh-CN"/>
              </w:rPr>
            </w:pPr>
            <w:r>
              <w:rPr>
                <w:rFonts w:hint="default" w:ascii="Times New Roman" w:hAnsi="Times New Roman" w:eastAsia="宋体" w:cs="宋体"/>
                <w:b w:val="0"/>
                <w:bCs/>
                <w:caps w:val="0"/>
                <w:spacing w:val="0"/>
                <w:sz w:val="24"/>
                <w:szCs w:val="24"/>
                <w:highlight w:val="none"/>
                <w:lang w:val="en-US" w:eastAsia="zh-CN"/>
              </w:rPr>
              <w:t>本项目</w:t>
            </w:r>
            <w:r>
              <w:rPr>
                <w:rFonts w:hint="eastAsia" w:ascii="Times New Roman" w:hAnsi="Times New Roman" w:eastAsia="宋体" w:cs="宋体"/>
                <w:caps w:val="0"/>
                <w:color w:val="auto"/>
                <w:spacing w:val="0"/>
                <w:sz w:val="24"/>
                <w:highlight w:val="none"/>
                <w:lang w:val="en-US" w:eastAsia="zh-CN"/>
              </w:rPr>
              <w:t>改造1台和扩建2台0.35MW</w:t>
            </w:r>
            <w:r>
              <w:rPr>
                <w:rFonts w:hint="default" w:ascii="Times New Roman" w:hAnsi="Times New Roman" w:eastAsia="宋体" w:cs="宋体"/>
                <w:b w:val="0"/>
                <w:bCs/>
                <w:caps w:val="0"/>
                <w:spacing w:val="0"/>
                <w:sz w:val="24"/>
                <w:szCs w:val="24"/>
                <w:highlight w:val="none"/>
                <w:lang w:val="en-US" w:eastAsia="zh-CN"/>
              </w:rPr>
              <w:t>的燃</w:t>
            </w:r>
            <w:r>
              <w:rPr>
                <w:rFonts w:hint="eastAsia" w:ascii="Times New Roman" w:hAnsi="Times New Roman" w:eastAsia="宋体" w:cs="宋体"/>
                <w:b w:val="0"/>
                <w:bCs/>
                <w:caps w:val="0"/>
                <w:spacing w:val="0"/>
                <w:sz w:val="24"/>
                <w:szCs w:val="24"/>
                <w:highlight w:val="none"/>
                <w:lang w:val="en-US" w:eastAsia="zh-CN"/>
              </w:rPr>
              <w:t>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lang w:val="en-US" w:eastAsia="zh-CN"/>
              </w:rPr>
              <w:t>两用一备</w:t>
            </w:r>
            <w:r>
              <w:rPr>
                <w:rFonts w:hint="eastAsia" w:ascii="Times New Roman" w:hAnsi="Times New Roman" w:eastAsia="宋体" w:cs="宋体"/>
                <w:caps w:val="0"/>
                <w:color w:val="auto"/>
                <w:spacing w:val="0"/>
                <w:sz w:val="24"/>
                <w:highlight w:val="none"/>
                <w:lang w:eastAsia="zh-CN"/>
              </w:rPr>
              <w:t>）</w:t>
            </w:r>
            <w:r>
              <w:rPr>
                <w:rFonts w:hint="default" w:ascii="Times New Roman" w:hAnsi="Times New Roman" w:eastAsia="宋体" w:cs="宋体"/>
                <w:b w:val="0"/>
                <w:bCs/>
                <w:caps w:val="0"/>
                <w:spacing w:val="0"/>
                <w:sz w:val="24"/>
                <w:szCs w:val="24"/>
                <w:highlight w:val="none"/>
                <w:lang w:val="en-US" w:eastAsia="zh-CN"/>
              </w:rPr>
              <w:t>为生产提供热源，</w:t>
            </w:r>
            <w:r>
              <w:rPr>
                <w:rFonts w:hint="eastAsia" w:ascii="Times New Roman" w:hAnsi="Times New Roman" w:cs="宋体"/>
                <w:caps w:val="0"/>
                <w:spacing w:val="0"/>
                <w:sz w:val="24"/>
                <w:highlight w:val="none"/>
                <w:lang w:val="en-US" w:eastAsia="zh-CN"/>
              </w:rPr>
              <w:t>导热油炉</w:t>
            </w:r>
            <w:r>
              <w:rPr>
                <w:rFonts w:hint="default" w:ascii="Times New Roman" w:hAnsi="Times New Roman" w:eastAsia="宋体" w:cs="宋体"/>
                <w:b w:val="0"/>
                <w:bCs/>
                <w:caps w:val="0"/>
                <w:spacing w:val="0"/>
                <w:sz w:val="24"/>
                <w:szCs w:val="24"/>
                <w:highlight w:val="none"/>
                <w:lang w:val="en-US" w:eastAsia="zh-CN"/>
              </w:rPr>
              <w:t>烟气经过布袋除尘器处理后通过</w:t>
            </w:r>
            <w:r>
              <w:rPr>
                <w:rFonts w:hint="eastAsia" w:ascii="Times New Roman" w:hAnsi="Times New Roman" w:eastAsia="宋体" w:cs="宋体"/>
                <w:b w:val="0"/>
                <w:bCs/>
                <w:caps w:val="0"/>
                <w:spacing w:val="0"/>
                <w:sz w:val="24"/>
                <w:szCs w:val="24"/>
                <w:highlight w:val="none"/>
                <w:lang w:val="en-US" w:eastAsia="zh-CN"/>
              </w:rPr>
              <w:t>20m</w:t>
            </w:r>
            <w:r>
              <w:rPr>
                <w:rFonts w:hint="default" w:ascii="Times New Roman" w:hAnsi="Times New Roman" w:eastAsia="宋体" w:cs="宋体"/>
                <w:b w:val="0"/>
                <w:bCs/>
                <w:caps w:val="0"/>
                <w:spacing w:val="0"/>
                <w:sz w:val="24"/>
                <w:szCs w:val="24"/>
                <w:highlight w:val="none"/>
                <w:lang w:val="en-US" w:eastAsia="zh-CN"/>
              </w:rPr>
              <w:t>高烟囱（DA0</w:t>
            </w:r>
            <w:r>
              <w:rPr>
                <w:rFonts w:hint="eastAsia" w:ascii="Times New Roman" w:hAnsi="Times New Roman" w:eastAsia="宋体" w:cs="宋体"/>
                <w:b w:val="0"/>
                <w:bCs/>
                <w:caps w:val="0"/>
                <w:spacing w:val="0"/>
                <w:sz w:val="24"/>
                <w:szCs w:val="24"/>
                <w:highlight w:val="none"/>
                <w:lang w:val="en-US" w:eastAsia="zh-CN"/>
              </w:rPr>
              <w:t>03、DA004</w:t>
            </w:r>
            <w:r>
              <w:rPr>
                <w:rFonts w:hint="default" w:ascii="Times New Roman" w:hAnsi="Times New Roman" w:eastAsia="宋体" w:cs="宋体"/>
                <w:b w:val="0"/>
                <w:bCs/>
                <w:caps w:val="0"/>
                <w:spacing w:val="0"/>
                <w:sz w:val="24"/>
                <w:szCs w:val="24"/>
                <w:highlight w:val="none"/>
                <w:lang w:val="en-US" w:eastAsia="zh-CN"/>
              </w:rPr>
              <w:t>）排放，燃料为</w:t>
            </w:r>
            <w:r>
              <w:rPr>
                <w:rFonts w:hint="eastAsia" w:ascii="Times New Roman" w:hAnsi="Times New Roman" w:eastAsia="宋体" w:cs="宋体"/>
                <w:b w:val="0"/>
                <w:bCs/>
                <w:caps w:val="0"/>
                <w:spacing w:val="0"/>
                <w:sz w:val="24"/>
                <w:szCs w:val="24"/>
                <w:highlight w:val="none"/>
                <w:lang w:val="en-US" w:eastAsia="zh-CN"/>
              </w:rPr>
              <w:t>轻质柴油</w:t>
            </w:r>
            <w:r>
              <w:rPr>
                <w:rFonts w:hint="default" w:ascii="Times New Roman" w:hAnsi="Times New Roman" w:eastAsia="宋体" w:cs="宋体"/>
                <w:b w:val="0"/>
                <w:bCs/>
                <w:caps w:val="0"/>
                <w:spacing w:val="0"/>
                <w:sz w:val="24"/>
                <w:szCs w:val="24"/>
                <w:highlight w:val="none"/>
                <w:lang w:val="en-US" w:eastAsia="zh-CN"/>
              </w:rPr>
              <w:t>，不使用原煤。综上，本项目的建设符合《黑龙江省大气污染防治行动计划实施细则》要求。</w:t>
            </w:r>
          </w:p>
          <w:p w14:paraId="044AB95E">
            <w:pPr>
              <w:pStyle w:val="19"/>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宋体"/>
                <w:b/>
                <w:bCs w:val="0"/>
                <w:i w:val="0"/>
                <w:iCs w:val="0"/>
                <w:caps w:val="0"/>
                <w:spacing w:val="0"/>
                <w:sz w:val="24"/>
                <w:szCs w:val="24"/>
                <w:highlight w:val="none"/>
                <w:shd w:val="clear"/>
                <w:lang w:val="en-US" w:eastAsia="zh-CN"/>
              </w:rPr>
            </w:pPr>
            <w:r>
              <w:rPr>
                <w:rFonts w:hint="eastAsia" w:ascii="Times New Roman" w:hAnsi="Times New Roman" w:eastAsia="宋体" w:cs="宋体"/>
                <w:b/>
                <w:bCs w:val="0"/>
                <w:i w:val="0"/>
                <w:iCs w:val="0"/>
                <w:caps w:val="0"/>
                <w:spacing w:val="0"/>
                <w:sz w:val="24"/>
                <w:szCs w:val="24"/>
                <w:highlight w:val="none"/>
                <w:shd w:val="clear"/>
                <w:lang w:val="en-US" w:eastAsia="zh-CN"/>
              </w:rPr>
              <w:t>2.3与《黑龙江省“十四五”生态环境保护规划》符合性分析</w:t>
            </w:r>
          </w:p>
          <w:p w14:paraId="77A6F8D4">
            <w:pPr>
              <w:rPr>
                <w:rFonts w:hint="eastAsia" w:ascii="Times New Roman" w:hAnsi="Times New Roman" w:eastAsia="宋体" w:cs="宋体"/>
                <w:i w:val="0"/>
                <w:iCs w:val="0"/>
                <w:caps w:val="0"/>
                <w:highlight w:val="none"/>
              </w:rPr>
            </w:pPr>
            <w:r>
              <w:rPr>
                <w:rFonts w:hint="eastAsia" w:ascii="Times New Roman" w:hAnsi="Times New Roman" w:eastAsia="宋体" w:cs="宋体"/>
                <w:i w:val="0"/>
                <w:iCs w:val="0"/>
                <w:caps w:val="0"/>
                <w:highlight w:val="none"/>
              </w:rPr>
              <w:t>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推进核能供暖示范，探索可再生能源制氢，开展绿色氢能利用。</w:t>
            </w:r>
          </w:p>
          <w:p w14:paraId="200DABC7">
            <w:pPr>
              <w:rPr>
                <w:rFonts w:hint="eastAsia" w:ascii="Times New Roman" w:hAnsi="Times New Roman" w:eastAsia="宋体" w:cs="宋体"/>
                <w:i w:val="0"/>
                <w:iCs w:val="0"/>
                <w:caps w:val="0"/>
                <w:highlight w:val="none"/>
              </w:rPr>
            </w:pPr>
            <w:r>
              <w:rPr>
                <w:rFonts w:hint="eastAsia" w:ascii="Times New Roman" w:hAnsi="Times New Roman" w:eastAsia="宋体" w:cs="宋体"/>
                <w:i w:val="0"/>
                <w:iCs w:val="0"/>
                <w:caps w:val="0"/>
                <w:highlight w:val="none"/>
              </w:rPr>
              <w:t>实施终端用能清洁化替代。重点削减小型燃煤锅炉、民用散煤与农业用煤消费量，降低煤炭在终端分散利用比例，对以煤、石焦油、渣油、重油等为燃料的锅炉和工业炉窑，加快使用清洁低碳能源以及工厂余热、电力热力等进行替代。深入实施</w:t>
            </w:r>
            <w:r>
              <w:rPr>
                <w:rFonts w:hint="eastAsia" w:ascii="Times New Roman" w:hAnsi="Times New Roman" w:eastAsia="宋体" w:cs="宋体"/>
                <w:i w:val="0"/>
                <w:iCs w:val="0"/>
                <w:caps w:val="0"/>
                <w:highlight w:val="none"/>
                <w:lang w:eastAsia="zh-CN"/>
              </w:rPr>
              <w:t>“</w:t>
            </w:r>
            <w:r>
              <w:rPr>
                <w:rFonts w:hint="eastAsia" w:ascii="Times New Roman" w:hAnsi="Times New Roman" w:eastAsia="宋体" w:cs="宋体"/>
                <w:i w:val="0"/>
                <w:iCs w:val="0"/>
                <w:caps w:val="0"/>
                <w:highlight w:val="none"/>
              </w:rPr>
              <w:t>气化龙江</w:t>
            </w:r>
            <w:r>
              <w:rPr>
                <w:rFonts w:hint="eastAsia" w:ascii="Times New Roman" w:hAnsi="Times New Roman" w:eastAsia="宋体" w:cs="宋体"/>
                <w:i w:val="0"/>
                <w:iCs w:val="0"/>
                <w:caps w:val="0"/>
                <w:highlight w:val="none"/>
                <w:lang w:eastAsia="zh-CN"/>
              </w:rPr>
              <w:t>”</w:t>
            </w:r>
            <w:r>
              <w:rPr>
                <w:rFonts w:hint="eastAsia" w:ascii="Times New Roman" w:hAnsi="Times New Roman" w:eastAsia="宋体" w:cs="宋体"/>
                <w:i w:val="0"/>
                <w:iCs w:val="0"/>
                <w:caps w:val="0"/>
                <w:highlight w:val="none"/>
              </w:rPr>
              <w:t>战略，率先在哈尔滨市、齐齐哈尔市、大庆市、黑河市等城市以及工业园区推广应用分布式天然气供暖，重点将哈尔滨新区打造成天然气应用示范区。加快推进齐齐哈尔市、大庆市可再生能源综合应用示范区建设和四煤城新能源项目建设。到2025年，全省清洁取暖率提高到75%以上。</w:t>
            </w:r>
          </w:p>
          <w:p w14:paraId="07752A20">
            <w:pPr>
              <w:pStyle w:val="4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eastAsia" w:ascii="Times New Roman" w:hAnsi="Times New Roman" w:eastAsia="宋体" w:cs="宋体"/>
                <w:bCs w:val="0"/>
                <w:caps w:val="0"/>
                <w:color w:val="auto"/>
                <w:kern w:val="0"/>
                <w:sz w:val="24"/>
                <w:szCs w:val="24"/>
                <w:highlight w:val="none"/>
                <w:lang w:val="en-US" w:eastAsia="zh-CN" w:bidi="ar-SA"/>
              </w:rPr>
            </w:pPr>
            <w:r>
              <w:rPr>
                <w:rFonts w:hint="eastAsia" w:ascii="Times New Roman" w:hAnsi="Times New Roman" w:eastAsia="宋体" w:cs="宋体"/>
                <w:i w:val="0"/>
                <w:iCs w:val="0"/>
                <w:caps w:val="0"/>
                <w:color w:val="auto"/>
                <w:spacing w:val="0"/>
                <w:sz w:val="24"/>
                <w:highlight w:val="none"/>
              </w:rPr>
              <w:t>本项目</w:t>
            </w:r>
            <w:r>
              <w:rPr>
                <w:rFonts w:hint="eastAsia" w:ascii="Times New Roman" w:hAnsi="Times New Roman" w:eastAsia="宋体" w:cs="宋体"/>
                <w:i w:val="0"/>
                <w:iCs w:val="0"/>
                <w:caps w:val="0"/>
                <w:color w:val="auto"/>
                <w:spacing w:val="0"/>
                <w:sz w:val="24"/>
                <w:highlight w:val="none"/>
                <w:lang w:val="en-US" w:eastAsia="zh-CN"/>
              </w:rPr>
              <w:t>改造1台和扩建2台0.35MW</w:t>
            </w:r>
            <w:r>
              <w:rPr>
                <w:rFonts w:hint="eastAsia" w:ascii="Times New Roman" w:hAnsi="Times New Roman" w:eastAsia="宋体" w:cs="宋体"/>
                <w:i w:val="0"/>
                <w:iCs w:val="0"/>
                <w:caps w:val="0"/>
                <w:color w:val="auto"/>
                <w:spacing w:val="0"/>
                <w:sz w:val="24"/>
                <w:highlight w:val="none"/>
                <w:lang w:eastAsia="zh-CN"/>
              </w:rPr>
              <w:t>燃油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lang w:val="en-US" w:eastAsia="zh-CN"/>
              </w:rPr>
              <w:t>两用一备</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i w:val="0"/>
                <w:iCs w:val="0"/>
                <w:caps w:val="0"/>
                <w:color w:val="auto"/>
                <w:spacing w:val="0"/>
                <w:sz w:val="24"/>
                <w:highlight w:val="none"/>
              </w:rPr>
              <w:t>，</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i w:val="0"/>
                <w:iCs w:val="0"/>
                <w:caps w:val="0"/>
                <w:color w:val="auto"/>
                <w:spacing w:val="0"/>
                <w:sz w:val="24"/>
                <w:highlight w:val="none"/>
              </w:rPr>
              <w:t>使用</w:t>
            </w:r>
            <w:r>
              <w:rPr>
                <w:rFonts w:hint="eastAsia" w:ascii="Times New Roman" w:hAnsi="Times New Roman" w:eastAsia="宋体" w:cs="宋体"/>
                <w:i w:val="0"/>
                <w:iCs w:val="0"/>
                <w:caps w:val="0"/>
                <w:color w:val="auto"/>
                <w:spacing w:val="0"/>
                <w:sz w:val="24"/>
                <w:highlight w:val="none"/>
                <w:lang w:val="en-US" w:eastAsia="zh-CN"/>
              </w:rPr>
              <w:t>成型轻质柴油作为</w:t>
            </w:r>
            <w:r>
              <w:rPr>
                <w:rFonts w:hint="eastAsia" w:ascii="Times New Roman" w:hAnsi="Times New Roman" w:eastAsia="宋体" w:cs="宋体"/>
                <w:i w:val="0"/>
                <w:iCs w:val="0"/>
                <w:caps w:val="0"/>
                <w:color w:val="auto"/>
                <w:spacing w:val="0"/>
                <w:sz w:val="24"/>
                <w:highlight w:val="none"/>
              </w:rPr>
              <w:t>燃料，</w:t>
            </w:r>
            <w:r>
              <w:rPr>
                <w:rFonts w:hint="eastAsia" w:ascii="Times New Roman" w:hAnsi="Times New Roman" w:eastAsia="宋体" w:cs="宋体"/>
                <w:i w:val="0"/>
                <w:iCs w:val="0"/>
                <w:caps w:val="0"/>
                <w:color w:val="auto"/>
                <w:spacing w:val="0"/>
                <w:sz w:val="24"/>
                <w:highlight w:val="none"/>
                <w:lang w:val="en-US" w:eastAsia="zh-CN"/>
              </w:rPr>
              <w:t>属于清洁能源。</w:t>
            </w:r>
            <w:r>
              <w:rPr>
                <w:rFonts w:hint="eastAsia" w:ascii="Times New Roman" w:hAnsi="Times New Roman" w:eastAsia="宋体" w:cs="宋体"/>
                <w:i w:val="0"/>
                <w:iCs w:val="0"/>
                <w:caps w:val="0"/>
                <w:color w:val="auto"/>
                <w:spacing w:val="0"/>
                <w:sz w:val="24"/>
                <w:highlight w:val="none"/>
              </w:rPr>
              <w:t>烟气排放能够</w:t>
            </w:r>
            <w:r>
              <w:rPr>
                <w:rFonts w:hint="eastAsia" w:ascii="Times New Roman" w:hAnsi="Times New Roman" w:eastAsia="宋体" w:cs="宋体"/>
                <w:i w:val="0"/>
                <w:iCs w:val="0"/>
                <w:caps w:val="0"/>
                <w:color w:val="auto"/>
                <w:spacing w:val="0"/>
                <w:sz w:val="24"/>
                <w:highlight w:val="none"/>
                <w:lang w:val="en-US" w:eastAsia="zh-CN"/>
              </w:rPr>
              <w:t>满足</w:t>
            </w:r>
            <w:r>
              <w:rPr>
                <w:rFonts w:hint="eastAsia" w:ascii="Times New Roman" w:hAnsi="Times New Roman" w:eastAsia="宋体" w:cs="宋体"/>
                <w:i w:val="0"/>
                <w:iCs w:val="0"/>
                <w:caps w:val="0"/>
                <w:spacing w:val="0"/>
                <w:sz w:val="24"/>
                <w:highlight w:val="none"/>
                <w:lang w:val="en-US" w:eastAsia="zh-CN"/>
              </w:rPr>
              <w:t>《锅炉大气污染物排放标准》（GB13271-2014）表2排放限值</w:t>
            </w:r>
            <w:r>
              <w:rPr>
                <w:rFonts w:hint="eastAsia" w:ascii="Times New Roman" w:hAnsi="Times New Roman" w:eastAsia="宋体" w:cs="宋体"/>
                <w:i w:val="0"/>
                <w:iCs w:val="0"/>
                <w:caps w:val="0"/>
                <w:color w:val="auto"/>
                <w:spacing w:val="0"/>
                <w:sz w:val="24"/>
                <w:highlight w:val="none"/>
              </w:rPr>
              <w:t>，符合</w:t>
            </w:r>
            <w:r>
              <w:rPr>
                <w:rFonts w:hint="eastAsia" w:ascii="Times New Roman" w:hAnsi="Times New Roman" w:eastAsia="宋体" w:cs="宋体"/>
                <w:i w:val="0"/>
                <w:iCs w:val="0"/>
                <w:caps w:val="0"/>
                <w:color w:val="auto"/>
                <w:spacing w:val="0"/>
                <w:sz w:val="24"/>
                <w:highlight w:val="none"/>
                <w:lang w:val="en-US" w:eastAsia="zh-CN"/>
              </w:rPr>
              <w:t>《黑龙江省“十四五”生态环境保护规划》</w:t>
            </w:r>
            <w:r>
              <w:rPr>
                <w:rFonts w:hint="eastAsia" w:ascii="Times New Roman" w:hAnsi="Times New Roman" w:eastAsia="宋体" w:cs="宋体"/>
                <w:i w:val="0"/>
                <w:iCs w:val="0"/>
                <w:caps w:val="0"/>
                <w:color w:val="auto"/>
                <w:spacing w:val="0"/>
                <w:sz w:val="24"/>
                <w:highlight w:val="none"/>
              </w:rPr>
              <w:t>的要求。</w:t>
            </w:r>
          </w:p>
          <w:p w14:paraId="15400F96">
            <w:pPr>
              <w:rPr>
                <w:rFonts w:hint="default" w:ascii="Times New Roman" w:hAnsi="Times New Roman" w:eastAsia="宋体" w:cs="宋体"/>
                <w:i w:val="0"/>
                <w:iCs w:val="0"/>
                <w:caps w:val="0"/>
                <w:highlight w:val="none"/>
                <w:lang w:val="en-US" w:eastAsia="zh-CN"/>
              </w:rPr>
            </w:pPr>
            <w:r>
              <w:rPr>
                <w:rFonts w:hint="eastAsia" w:ascii="Times New Roman" w:hAnsi="Times New Roman" w:eastAsia="宋体" w:cs="宋体"/>
                <w:b/>
                <w:bCs w:val="0"/>
                <w:i w:val="0"/>
                <w:iCs w:val="0"/>
                <w:caps w:val="0"/>
                <w:highlight w:val="none"/>
                <w:lang w:val="en-US" w:eastAsia="zh-CN"/>
              </w:rPr>
              <w:t>2.4与《</w:t>
            </w:r>
            <w:r>
              <w:rPr>
                <w:rFonts w:hint="eastAsia" w:ascii="Times New Roman" w:hAnsi="Times New Roman" w:eastAsia="宋体" w:cs="宋体"/>
                <w:b/>
                <w:bCs w:val="0"/>
                <w:caps w:val="0"/>
                <w:color w:val="auto"/>
                <w:sz w:val="24"/>
                <w:highlight w:val="none"/>
                <w:lang w:val="en-US" w:eastAsia="zh-CN"/>
              </w:rPr>
              <w:t>黑龙江省空气质量持续改善行动计划实施方案</w:t>
            </w:r>
            <w:r>
              <w:rPr>
                <w:rFonts w:hint="eastAsia" w:ascii="Times New Roman" w:hAnsi="Times New Roman" w:eastAsia="宋体" w:cs="宋体"/>
                <w:b/>
                <w:bCs w:val="0"/>
                <w:i w:val="0"/>
                <w:iCs w:val="0"/>
                <w:caps w:val="0"/>
                <w:highlight w:val="none"/>
                <w:lang w:val="en-US" w:eastAsia="zh-CN"/>
              </w:rPr>
              <w:t>》符合性分析</w:t>
            </w:r>
          </w:p>
          <w:p w14:paraId="6827B920">
            <w:pPr>
              <w:pStyle w:val="4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eastAsia" w:ascii="Times New Roman" w:hAnsi="Times New Roman" w:eastAsia="宋体" w:cs="宋体"/>
                <w:caps w:val="0"/>
                <w:highlight w:val="none"/>
                <w:lang w:val="en-US" w:eastAsia="zh-CN"/>
              </w:rPr>
            </w:pPr>
            <w:r>
              <w:rPr>
                <w:rFonts w:hint="eastAsia" w:ascii="Times New Roman" w:hAnsi="Times New Roman" w:eastAsia="宋体" w:cs="宋体"/>
                <w:caps w:val="0"/>
                <w:highlight w:val="none"/>
                <w:lang w:val="en-US" w:eastAsia="zh-CN"/>
              </w:rPr>
              <w:t>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到2025年，哈尔滨市、佳木斯市、七台河市、绥化市基本完成城市建成区35蒸吨/小时及以下燃煤锅炉淘汰；哈尔滨市、绥化市基本淘汰行政区域内10蒸吨/小时及以下的燃煤锅炉。（省发展改革委、省生态环境厅、省住房城乡建设厅、省市场监管局等按职责分工负责）</w:t>
            </w:r>
          </w:p>
          <w:p w14:paraId="24A56A6C">
            <w:pPr>
              <w:rPr>
                <w:rFonts w:hint="default" w:ascii="Times New Roman" w:hAnsi="Times New Roman" w:eastAsia="宋体" w:cs="宋体"/>
                <w:i w:val="0"/>
                <w:iCs w:val="0"/>
                <w:caps w:val="0"/>
                <w:highlight w:val="none"/>
                <w:lang w:val="en-US" w:eastAsia="zh-CN"/>
              </w:rPr>
            </w:pPr>
            <w:r>
              <w:rPr>
                <w:rFonts w:hint="eastAsia" w:ascii="Times New Roman" w:hAnsi="Times New Roman" w:eastAsia="宋体" w:cs="宋体"/>
                <w:i w:val="0"/>
                <w:iCs w:val="0"/>
                <w:caps w:val="0"/>
                <w:highlight w:val="none"/>
                <w:lang w:val="en-US" w:eastAsia="zh-CN"/>
              </w:rPr>
              <w:t>本项目改造1台和扩建2台0.35MW燃油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lang w:val="en-US" w:eastAsia="zh-CN"/>
              </w:rPr>
              <w:t>两用一备</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i w:val="0"/>
                <w:iCs w:val="0"/>
                <w:caps w:val="0"/>
                <w:highlight w:val="none"/>
                <w:lang w:val="en-US" w:eastAsia="zh-CN"/>
              </w:rPr>
              <w:t>用于生产，燃料为轻质柴油。不属于35</w:t>
            </w:r>
            <w:r>
              <w:rPr>
                <w:rFonts w:hint="eastAsia" w:ascii="Times New Roman" w:hAnsi="Times New Roman" w:eastAsia="宋体" w:cs="宋体"/>
                <w:caps w:val="0"/>
                <w:highlight w:val="none"/>
                <w:lang w:val="en-US" w:eastAsia="zh-CN"/>
              </w:rPr>
              <w:t>蒸吨/小时及以下燃煤锅炉。符合《黑龙江省空气质量持续改善行动计划实施方案》要求。</w:t>
            </w:r>
          </w:p>
          <w:p w14:paraId="2875761B">
            <w:pPr>
              <w:rPr>
                <w:rFonts w:hint="default" w:ascii="Times New Roman" w:hAnsi="Times New Roman" w:eastAsia="宋体" w:cs="宋体"/>
                <w:b/>
                <w:bCs w:val="0"/>
                <w:i w:val="0"/>
                <w:iCs w:val="0"/>
                <w:caps w:val="0"/>
                <w:highlight w:val="none"/>
                <w:lang w:val="en-US" w:eastAsia="zh-CN"/>
              </w:rPr>
            </w:pPr>
            <w:r>
              <w:rPr>
                <w:rFonts w:hint="eastAsia" w:ascii="Times New Roman" w:hAnsi="Times New Roman" w:eastAsia="宋体" w:cs="宋体"/>
                <w:b/>
                <w:bCs w:val="0"/>
                <w:i w:val="0"/>
                <w:iCs w:val="0"/>
                <w:caps w:val="0"/>
                <w:highlight w:val="none"/>
                <w:lang w:val="en-US" w:eastAsia="zh-CN"/>
              </w:rPr>
              <w:t>2.5与《鸡西市空气质量持续改善行动计划贯彻落实方案》符合性分析</w:t>
            </w:r>
          </w:p>
          <w:p w14:paraId="4222CA4E">
            <w:pPr>
              <w:rPr>
                <w:rFonts w:hint="eastAsia" w:ascii="Times New Roman" w:hAnsi="Times New Roman" w:eastAsia="宋体" w:cs="宋体"/>
                <w:i w:val="0"/>
                <w:iCs w:val="0"/>
                <w:caps w:val="0"/>
                <w:highlight w:val="none"/>
              </w:rPr>
            </w:pPr>
            <w:r>
              <w:rPr>
                <w:rFonts w:hint="eastAsia" w:ascii="Times New Roman" w:hAnsi="Times New Roman" w:eastAsia="宋体" w:cs="宋体"/>
                <w:i w:val="0"/>
                <w:iCs w:val="0"/>
                <w:caps w:val="0"/>
                <w:highlight w:val="none"/>
              </w:rPr>
              <w:t>持续开展燃煤锅炉淘汰改造。有序推进小型电站锅炉和服役时间超过15年的老旧低效工业锅炉淘汰工作。将燃煤供热锅炉替代项目纳入城镇供热规划。县级及以上城市建成区原则上不再新建35蒸吨/小时及以下燃煤锅炉，其他地区原则上不再新建10蒸吨/小时及以下燃煤锅炉和2蒸吨/小时及以下</w:t>
            </w:r>
            <w:r>
              <w:rPr>
                <w:rFonts w:hint="eastAsia" w:ascii="Times New Roman" w:hAnsi="Times New Roman" w:eastAsia="宋体" w:cs="宋体"/>
                <w:i w:val="0"/>
                <w:iCs w:val="0"/>
                <w:caps w:val="0"/>
                <w:highlight w:val="none"/>
                <w:lang w:eastAsia="zh-CN"/>
              </w:rPr>
              <w:t>燃油锅炉</w:t>
            </w:r>
            <w:r>
              <w:rPr>
                <w:rFonts w:hint="eastAsia" w:ascii="Times New Roman" w:hAnsi="Times New Roman" w:eastAsia="宋体" w:cs="宋体"/>
                <w:i w:val="0"/>
                <w:iCs w:val="0"/>
                <w:caps w:val="0"/>
                <w:highlight w:val="none"/>
              </w:rPr>
              <w:t>。加快热力管网建设，推广中长距离供热，加快替代供热管网覆盖范围内的小型燃煤锅炉，充分释放热电联产、工业余热等供热能力。到2025年，全市淘汰管网覆盖范围内的供热燃煤锅炉；细颗粒物（PM</w:t>
            </w:r>
            <w:r>
              <w:rPr>
                <w:rFonts w:hint="eastAsia" w:ascii="Times New Roman" w:hAnsi="Times New Roman" w:eastAsia="宋体" w:cs="宋体"/>
                <w:i w:val="0"/>
                <w:iCs w:val="0"/>
                <w:caps w:val="0"/>
                <w:highlight w:val="none"/>
                <w:vertAlign w:val="subscript"/>
              </w:rPr>
              <w:t>2</w:t>
            </w:r>
            <w:r>
              <w:rPr>
                <w:rFonts w:hint="eastAsia" w:ascii="Times New Roman" w:hAnsi="Times New Roman" w:eastAsia="宋体" w:cs="宋体"/>
                <w:i w:val="0"/>
                <w:iCs w:val="0"/>
                <w:caps w:val="0"/>
                <w:highlight w:val="none"/>
                <w:vertAlign w:val="subscript"/>
                <w:lang w:eastAsia="zh-CN"/>
              </w:rPr>
              <w:t>.</w:t>
            </w:r>
            <w:r>
              <w:rPr>
                <w:rFonts w:hint="eastAsia" w:ascii="Times New Roman" w:hAnsi="Times New Roman" w:eastAsia="宋体" w:cs="宋体"/>
                <w:i w:val="0"/>
                <w:iCs w:val="0"/>
                <w:caps w:val="0"/>
                <w:highlight w:val="none"/>
                <w:vertAlign w:val="subscript"/>
              </w:rPr>
              <w:t>5</w:t>
            </w:r>
            <w:r>
              <w:rPr>
                <w:rFonts w:hint="eastAsia" w:ascii="Times New Roman" w:hAnsi="Times New Roman" w:eastAsia="宋体" w:cs="宋体"/>
                <w:i w:val="0"/>
                <w:iCs w:val="0"/>
                <w:caps w:val="0"/>
                <w:highlight w:val="none"/>
              </w:rPr>
              <w:t>）未达标县（市）区基本淘汰10蒸吨/小时及以下的燃煤锅炉。（由市发改委、市生态环境局、市住建局、市市场监管局等按职责分工负责）</w:t>
            </w:r>
          </w:p>
          <w:p w14:paraId="6CA2AB03">
            <w:pPr>
              <w:rPr>
                <w:rFonts w:hint="default" w:ascii="Times New Roman" w:hAnsi="Times New Roman" w:eastAsia="宋体" w:cs="宋体"/>
                <w:i w:val="0"/>
                <w:iCs w:val="0"/>
                <w:caps w:val="0"/>
                <w:highlight w:val="none"/>
                <w:lang w:val="en-US" w:eastAsia="zh-CN"/>
              </w:rPr>
            </w:pPr>
            <w:r>
              <w:rPr>
                <w:rFonts w:hint="eastAsia" w:ascii="Times New Roman" w:hAnsi="Times New Roman" w:eastAsia="宋体" w:cs="宋体"/>
                <w:i w:val="0"/>
                <w:iCs w:val="0"/>
                <w:caps w:val="0"/>
                <w:highlight w:val="none"/>
                <w:lang w:val="en-US" w:eastAsia="zh-CN"/>
              </w:rPr>
              <w:t>本项目改造1台和扩建2台0.35MW燃油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lang w:val="en-US" w:eastAsia="zh-CN"/>
              </w:rPr>
              <w:t>两用一备</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i w:val="0"/>
                <w:iCs w:val="0"/>
                <w:caps w:val="0"/>
                <w:highlight w:val="none"/>
                <w:lang w:val="en-US" w:eastAsia="zh-CN"/>
              </w:rPr>
              <w:t>用于生产用热，</w:t>
            </w:r>
            <w:r>
              <w:rPr>
                <w:rFonts w:hint="eastAsia" w:ascii="Times New Roman" w:hAnsi="Times New Roman" w:cs="宋体"/>
                <w:i w:val="0"/>
                <w:iCs w:val="0"/>
                <w:caps w:val="0"/>
                <w:highlight w:val="none"/>
                <w:lang w:val="en-US" w:eastAsia="zh-CN"/>
              </w:rPr>
              <w:t>根据《鸡西市国土空间规划》（2021—2025年），</w:t>
            </w:r>
            <w:r>
              <w:rPr>
                <w:rFonts w:hint="eastAsia" w:ascii="Times New Roman" w:hAnsi="Times New Roman" w:eastAsia="宋体" w:cs="宋体"/>
                <w:i w:val="0"/>
                <w:iCs w:val="0"/>
                <w:caps w:val="0"/>
                <w:highlight w:val="none"/>
                <w:lang w:val="en-US" w:eastAsia="zh-CN"/>
              </w:rPr>
              <w:t>本项目位于鸡西市建成区内，</w:t>
            </w:r>
            <w:r>
              <w:rPr>
                <w:rFonts w:hint="eastAsia" w:ascii="Times New Roman" w:hAnsi="Times New Roman" w:cs="宋体"/>
                <w:i w:val="0"/>
                <w:iCs w:val="0"/>
                <w:caps w:val="0"/>
                <w:highlight w:val="none"/>
                <w:lang w:val="en-US" w:eastAsia="zh-CN"/>
              </w:rPr>
              <w:t>不属于其他区域，</w:t>
            </w:r>
            <w:r>
              <w:rPr>
                <w:rFonts w:hint="eastAsia" w:ascii="Times New Roman" w:hAnsi="Times New Roman" w:eastAsia="宋体" w:cs="宋体"/>
                <w:i w:val="0"/>
                <w:iCs w:val="0"/>
                <w:caps w:val="0"/>
                <w:highlight w:val="none"/>
                <w:lang w:val="en-US" w:eastAsia="zh-CN"/>
              </w:rPr>
              <w:t>符合不再新建35蒸吨/小时及以下燃煤锅炉和</w:t>
            </w:r>
            <w:r>
              <w:rPr>
                <w:rFonts w:hint="eastAsia" w:ascii="Times New Roman" w:hAnsi="Times New Roman" w:eastAsia="宋体" w:cs="宋体"/>
                <w:i w:val="0"/>
                <w:iCs w:val="0"/>
                <w:caps w:val="0"/>
                <w:highlight w:val="none"/>
              </w:rPr>
              <w:t>其他地区原则上不再新建10蒸吨/小时及以下燃煤锅炉和2蒸吨/小时及以下</w:t>
            </w:r>
            <w:r>
              <w:rPr>
                <w:rFonts w:hint="eastAsia" w:ascii="Times New Roman" w:hAnsi="Times New Roman" w:eastAsia="宋体" w:cs="宋体"/>
                <w:i w:val="0"/>
                <w:iCs w:val="0"/>
                <w:caps w:val="0"/>
                <w:highlight w:val="none"/>
                <w:lang w:eastAsia="zh-CN"/>
              </w:rPr>
              <w:t>燃油锅炉</w:t>
            </w:r>
            <w:r>
              <w:rPr>
                <w:rFonts w:hint="default" w:ascii="Times New Roman" w:hAnsi="Times New Roman" w:eastAsia="宋体" w:cs="宋体"/>
                <w:caps w:val="0"/>
                <w:highlight w:val="none"/>
                <w:lang w:val="en-US" w:eastAsia="zh-CN"/>
              </w:rPr>
              <w:t>。</w:t>
            </w:r>
            <w:r>
              <w:rPr>
                <w:rFonts w:hint="eastAsia" w:ascii="Times New Roman" w:hAnsi="Times New Roman" w:eastAsia="宋体" w:cs="宋体"/>
                <w:caps w:val="0"/>
                <w:highlight w:val="none"/>
                <w:lang w:val="en-US" w:eastAsia="zh-CN"/>
              </w:rPr>
              <w:t>符合《鸡西市空气质量持续改善行动计划贯彻落实方案》要求。</w:t>
            </w:r>
          </w:p>
          <w:p w14:paraId="2F95475E">
            <w:pPr>
              <w:rPr>
                <w:rFonts w:hint="default" w:ascii="Times New Roman" w:hAnsi="Times New Roman" w:eastAsia="宋体" w:cs="宋体"/>
                <w:i w:val="0"/>
                <w:iCs w:val="0"/>
                <w:caps w:val="0"/>
                <w:highlight w:val="none"/>
                <w:lang w:val="en-US"/>
              </w:rPr>
            </w:pPr>
            <w:r>
              <w:rPr>
                <w:rFonts w:hint="eastAsia" w:ascii="Times New Roman" w:hAnsi="Times New Roman" w:eastAsia="宋体" w:cs="宋体"/>
                <w:b/>
                <w:bCs/>
                <w:caps w:val="0"/>
                <w:color w:val="auto"/>
                <w:sz w:val="24"/>
                <w:highlight w:val="none"/>
                <w:lang w:val="en-US" w:eastAsia="zh-CN"/>
              </w:rPr>
              <w:t>2.6与《黑龙江省固体废物污染环境防治条例》的符合性分析</w:t>
            </w:r>
          </w:p>
          <w:p w14:paraId="1502C468">
            <w:pPr>
              <w:pStyle w:val="4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eastAsia" w:ascii="Times New Roman" w:hAnsi="Times New Roman" w:eastAsia="宋体" w:cs="宋体"/>
                <w:i w:val="0"/>
                <w:iCs w:val="0"/>
                <w:caps w:val="0"/>
                <w:highlight w:val="none"/>
              </w:rPr>
            </w:pPr>
            <w:r>
              <w:rPr>
                <w:rFonts w:hint="eastAsia" w:ascii="Times New Roman" w:hAnsi="Times New Roman" w:eastAsia="宋体" w:cs="宋体"/>
                <w:i w:val="0"/>
                <w:iCs w:val="0"/>
                <w:caps w:val="0"/>
                <w:highlight w:val="none"/>
              </w:rPr>
              <w:t>第十条 建设产生、贮存、利用、处置固体废物的项目，应当符合生态环境分区管控要求，依法进行环境影响评价，并遵守国家有关建设项目环境保护管理的规定。</w:t>
            </w:r>
          </w:p>
          <w:p w14:paraId="59FFCD25">
            <w:pPr>
              <w:rPr>
                <w:rFonts w:hint="eastAsia" w:ascii="Times New Roman" w:hAnsi="Times New Roman" w:eastAsia="宋体" w:cs="宋体"/>
                <w:caps w:val="0"/>
                <w:highlight w:val="none"/>
              </w:rPr>
            </w:pPr>
            <w:r>
              <w:rPr>
                <w:rFonts w:hint="eastAsia" w:ascii="Times New Roman" w:hAnsi="Times New Roman" w:eastAsia="宋体" w:cs="宋体"/>
                <w:caps w:val="0"/>
                <w:highlight w:val="none"/>
              </w:rPr>
              <w:t>第十八条产生工业固体废物的单位应当依法实施清洁生产审核，通过采取工艺设备改造、清洁能源使用、原料替代等措施，从源头减少工业固体废物产生；加强原材料深度加工以及循环使用、伴生产品加工利用、副产物综合利用。</w:t>
            </w:r>
          </w:p>
          <w:p w14:paraId="201A4249">
            <w:pPr>
              <w:rPr>
                <w:rFonts w:hint="eastAsia" w:ascii="Times New Roman" w:hAnsi="Times New Roman" w:eastAsia="宋体" w:cs="宋体"/>
                <w:caps w:val="0"/>
                <w:highlight w:val="none"/>
              </w:rPr>
            </w:pPr>
            <w:r>
              <w:rPr>
                <w:rFonts w:hint="eastAsia" w:ascii="Times New Roman" w:hAnsi="Times New Roman" w:eastAsia="宋体" w:cs="宋体"/>
                <w:caps w:val="0"/>
                <w:highlight w:val="none"/>
              </w:rPr>
              <w:t>产生工业固体废物的单位应当取得排污许可证；向所在地生态环境主管部门提供工业固体废物的种类、数量、流向、贮存、利用、处置等有关资料，以及减少工业固体废物产生、促进综合利用的具体措施，并执行排污许可管理制度的相关规定。</w:t>
            </w:r>
          </w:p>
          <w:p w14:paraId="388804D3">
            <w:pPr>
              <w:rPr>
                <w:rFonts w:hint="eastAsia" w:ascii="Times New Roman" w:hAnsi="Times New Roman" w:eastAsia="宋体" w:cs="宋体"/>
                <w:i w:val="0"/>
                <w:iCs w:val="0"/>
                <w:caps w:val="0"/>
                <w:highlight w:val="none"/>
              </w:rPr>
            </w:pPr>
            <w:r>
              <w:rPr>
                <w:rFonts w:hint="eastAsia" w:ascii="Times New Roman" w:hAnsi="Times New Roman" w:eastAsia="宋体" w:cs="宋体"/>
                <w:i w:val="0"/>
                <w:iCs w:val="0"/>
                <w:caps w:val="0"/>
                <w:highlight w:val="none"/>
              </w:rPr>
              <w:t>第二十六条 产生危险废物的单位，应当按照国家有关规定制定危险废物管理计划，通过国家固体废物管理信息系统向所在地生态环境主管部门备案。危险废物管理计划调整的，产生危险废物的单位应当及时备案。</w:t>
            </w:r>
          </w:p>
          <w:p w14:paraId="180788B2">
            <w:pPr>
              <w:rPr>
                <w:rFonts w:hint="default" w:ascii="Times New Roman" w:hAnsi="Times New Roman" w:eastAsia="宋体" w:cs="宋体"/>
                <w:i w:val="0"/>
                <w:iCs w:val="0"/>
                <w:caps w:val="0"/>
                <w:highlight w:val="none"/>
                <w:lang w:val="en-US" w:eastAsia="zh-CN"/>
              </w:rPr>
            </w:pPr>
            <w:r>
              <w:rPr>
                <w:rFonts w:hint="eastAsia" w:ascii="Times New Roman" w:hAnsi="Times New Roman" w:eastAsia="宋体" w:cs="宋体"/>
                <w:i w:val="0"/>
                <w:iCs w:val="0"/>
                <w:caps w:val="0"/>
                <w:highlight w:val="none"/>
                <w:lang w:val="en-US" w:eastAsia="zh-CN"/>
              </w:rPr>
              <w:t>本项目的建设产生的主要固体废物为</w:t>
            </w:r>
            <w:r>
              <w:rPr>
                <w:rFonts w:hint="eastAsia" w:ascii="Times New Roman" w:hAnsi="Times New Roman" w:eastAsia="宋体" w:cs="宋体"/>
                <w:caps w:val="0"/>
                <w:spacing w:val="0"/>
                <w:sz w:val="24"/>
                <w:szCs w:val="24"/>
                <w:highlight w:val="none"/>
                <w:lang w:val="en-US" w:eastAsia="zh-CN"/>
              </w:rPr>
              <w:t>废布袋和废机油、废机油桶、含油棉纱、废导热油，废布袋收集后交厂家回收再生处理。废机油、废机油桶、含油棉纱、废导热油交有资质单位处置。本项目建成后根据全厂内容进行排污许可填报，制定危险废物管理计划，向生态环境主管部门备案。因此本项目建设符合《黑龙江省固体废物污染环境防治条例》要求。</w:t>
            </w:r>
          </w:p>
          <w:p w14:paraId="281598E8">
            <w:pPr>
              <w:pStyle w:val="4"/>
              <w:keepNext w:val="0"/>
              <w:keepLines w:val="0"/>
              <w:pageBreakBefore w:val="0"/>
              <w:widowControl w:val="0"/>
              <w:kinsoku/>
              <w:wordWrap/>
              <w:overflowPunct/>
              <w:topLinePunct w:val="0"/>
              <w:autoSpaceDE/>
              <w:autoSpaceDN/>
              <w:bidi w:val="0"/>
              <w:adjustRightInd w:val="0"/>
              <w:snapToGrid w:val="0"/>
              <w:spacing w:after="0" w:line="360" w:lineRule="auto"/>
              <w:ind w:firstLine="482" w:firstLineChars="200"/>
              <w:textAlignment w:val="auto"/>
              <w:rPr>
                <w:rFonts w:ascii="Times New Roman" w:hAnsi="Times New Roman" w:eastAsia="宋体" w:cs="宋体"/>
                <w:b/>
                <w:caps w:val="0"/>
                <w:sz w:val="24"/>
                <w:highlight w:val="none"/>
              </w:rPr>
            </w:pPr>
            <w:r>
              <w:rPr>
                <w:rFonts w:hint="eastAsia" w:ascii="Times New Roman" w:hAnsi="Times New Roman" w:eastAsia="宋体" w:cs="宋体"/>
                <w:b/>
                <w:caps w:val="0"/>
                <w:sz w:val="24"/>
                <w:highlight w:val="none"/>
                <w:lang w:val="en-US" w:eastAsia="zh-CN"/>
              </w:rPr>
              <w:t>2.7</w:t>
            </w:r>
            <w:r>
              <w:rPr>
                <w:rFonts w:ascii="Times New Roman" w:hAnsi="Times New Roman" w:eastAsia="宋体" w:cs="宋体"/>
                <w:b/>
                <w:caps w:val="0"/>
                <w:sz w:val="24"/>
                <w:highlight w:val="none"/>
              </w:rPr>
              <w:t>与《国务院关于印发</w:t>
            </w:r>
            <w:r>
              <w:rPr>
                <w:rFonts w:hint="eastAsia" w:ascii="Times New Roman" w:hAnsi="Times New Roman" w:eastAsia="宋体" w:cs="宋体"/>
                <w:b/>
                <w:caps w:val="0"/>
                <w:sz w:val="24"/>
                <w:highlight w:val="none"/>
                <w:lang w:eastAsia="zh-CN"/>
              </w:rPr>
              <w:t>“</w:t>
            </w:r>
            <w:r>
              <w:rPr>
                <w:rFonts w:ascii="Times New Roman" w:hAnsi="Times New Roman" w:eastAsia="宋体" w:cs="宋体"/>
                <w:b/>
                <w:caps w:val="0"/>
                <w:sz w:val="24"/>
                <w:highlight w:val="none"/>
              </w:rPr>
              <w:t>十四五</w:t>
            </w:r>
            <w:r>
              <w:rPr>
                <w:rFonts w:hint="eastAsia" w:ascii="Times New Roman" w:hAnsi="Times New Roman" w:eastAsia="宋体" w:cs="宋体"/>
                <w:b/>
                <w:caps w:val="0"/>
                <w:sz w:val="24"/>
                <w:highlight w:val="none"/>
                <w:lang w:eastAsia="zh-CN"/>
              </w:rPr>
              <w:t>”</w:t>
            </w:r>
            <w:r>
              <w:rPr>
                <w:rFonts w:ascii="Times New Roman" w:hAnsi="Times New Roman" w:eastAsia="宋体" w:cs="宋体"/>
                <w:b/>
                <w:caps w:val="0"/>
                <w:sz w:val="24"/>
                <w:highlight w:val="none"/>
              </w:rPr>
              <w:t>节能减排综合工作方案的通知》（国发</w:t>
            </w:r>
            <w:r>
              <w:rPr>
                <w:rFonts w:hint="eastAsia" w:ascii="Times New Roman" w:hAnsi="Times New Roman" w:eastAsia="宋体" w:cs="宋体"/>
                <w:b/>
                <w:caps w:val="0"/>
                <w:sz w:val="24"/>
                <w:highlight w:val="none"/>
                <w:lang w:eastAsia="zh-CN"/>
              </w:rPr>
              <w:t>〔2021〕33号</w:t>
            </w:r>
            <w:r>
              <w:rPr>
                <w:rFonts w:ascii="Times New Roman" w:hAnsi="Times New Roman" w:eastAsia="宋体" w:cs="宋体"/>
                <w:b/>
                <w:caps w:val="0"/>
                <w:sz w:val="24"/>
                <w:highlight w:val="none"/>
              </w:rPr>
              <w:t>）的相符性分析</w:t>
            </w:r>
          </w:p>
          <w:p w14:paraId="5258A647">
            <w:pPr>
              <w:pStyle w:val="46"/>
              <w:adjustRightInd w:val="0"/>
              <w:snapToGrid w:val="0"/>
              <w:rPr>
                <w:rFonts w:ascii="Times New Roman" w:hAnsi="Times New Roman" w:eastAsia="宋体" w:cs="宋体"/>
                <w:caps w:val="0"/>
                <w:highlight w:val="none"/>
              </w:rPr>
            </w:pPr>
            <w:r>
              <w:rPr>
                <w:rFonts w:ascii="Times New Roman" w:hAnsi="Times New Roman" w:eastAsia="宋体" w:cs="宋体"/>
                <w:caps w:val="0"/>
                <w:highlight w:val="none"/>
              </w:rPr>
              <w:t>根据《</w:t>
            </w:r>
            <w:r>
              <w:rPr>
                <w:rFonts w:hint="eastAsia" w:ascii="Times New Roman" w:hAnsi="Times New Roman" w:eastAsia="宋体" w:cs="宋体"/>
                <w:bCs/>
                <w:caps w:val="0"/>
                <w:highlight w:val="none"/>
                <w:lang w:eastAsia="zh-CN"/>
              </w:rPr>
              <w:t>“</w:t>
            </w:r>
            <w:r>
              <w:rPr>
                <w:rFonts w:ascii="Times New Roman" w:hAnsi="Times New Roman" w:eastAsia="宋体" w:cs="宋体"/>
                <w:bCs/>
                <w:caps w:val="0"/>
                <w:highlight w:val="none"/>
              </w:rPr>
              <w:t>十四五</w:t>
            </w:r>
            <w:r>
              <w:rPr>
                <w:rFonts w:hint="eastAsia" w:ascii="Times New Roman" w:hAnsi="Times New Roman" w:eastAsia="宋体" w:cs="宋体"/>
                <w:bCs/>
                <w:caps w:val="0"/>
                <w:highlight w:val="none"/>
                <w:lang w:eastAsia="zh-CN"/>
              </w:rPr>
              <w:t>”</w:t>
            </w:r>
            <w:r>
              <w:rPr>
                <w:rFonts w:ascii="Times New Roman" w:hAnsi="Times New Roman" w:eastAsia="宋体" w:cs="宋体"/>
                <w:bCs/>
                <w:caps w:val="0"/>
                <w:highlight w:val="none"/>
              </w:rPr>
              <w:t>节能减排综合工作方案》，</w:t>
            </w:r>
            <w:r>
              <w:rPr>
                <w:rFonts w:hint="eastAsia" w:ascii="Times New Roman" w:hAnsi="Times New Roman" w:eastAsia="宋体" w:cs="宋体"/>
                <w:bCs/>
                <w:caps w:val="0"/>
                <w:highlight w:val="none"/>
                <w:lang w:eastAsia="zh-CN"/>
              </w:rPr>
              <w:t>“</w:t>
            </w:r>
            <w:r>
              <w:rPr>
                <w:rFonts w:ascii="Times New Roman" w:hAnsi="Times New Roman" w:eastAsia="宋体" w:cs="宋体"/>
                <w:bCs/>
                <w:caps w:val="0"/>
                <w:highlight w:val="none"/>
              </w:rPr>
              <w:t>十四五</w:t>
            </w:r>
            <w:r>
              <w:rPr>
                <w:rFonts w:hint="eastAsia" w:ascii="Times New Roman" w:hAnsi="Times New Roman" w:eastAsia="宋体" w:cs="宋体"/>
                <w:bCs/>
                <w:caps w:val="0"/>
                <w:highlight w:val="none"/>
                <w:lang w:eastAsia="zh-CN"/>
              </w:rPr>
              <w:t>”</w:t>
            </w:r>
            <w:r>
              <w:rPr>
                <w:rFonts w:ascii="Times New Roman" w:hAnsi="Times New Roman" w:eastAsia="宋体" w:cs="宋体"/>
                <w:bCs/>
                <w:caps w:val="0"/>
                <w:highlight w:val="none"/>
              </w:rPr>
              <w:t>主要目标：20</w:t>
            </w:r>
            <w:r>
              <w:rPr>
                <w:rFonts w:ascii="Times New Roman" w:hAnsi="Times New Roman" w:eastAsia="宋体" w:cs="宋体"/>
                <w:caps w:val="0"/>
                <w:highlight w:val="none"/>
              </w:rPr>
              <w:t>25年，全国单位国内生产总值能源消耗比2020年下降13</w:t>
            </w:r>
            <w:r>
              <w:rPr>
                <w:rFonts w:hint="eastAsia" w:ascii="Times New Roman" w:hAnsi="Times New Roman" w:eastAsia="宋体" w:cs="宋体"/>
                <w:caps w:val="0"/>
                <w:highlight w:val="none"/>
                <w:lang w:eastAsia="zh-CN"/>
              </w:rPr>
              <w:t>.</w:t>
            </w:r>
            <w:r>
              <w:rPr>
                <w:rFonts w:ascii="Times New Roman" w:hAnsi="Times New Roman" w:eastAsia="宋体" w:cs="宋体"/>
                <w:caps w:val="0"/>
                <w:highlight w:val="none"/>
              </w:rPr>
              <w:t>5%，能源消费总量得到合理控制，化学需氧量、氨氮、氮氧化物、挥发性有机物排放总量比2020年分别下降8%、8%、10%以上、10%以上。节能减排政策机制更加健全，重点行业能源利用效率和主要污染物排放控制水平基本达到国际先进水平，经济社会发展绿色转型取得显著成效。</w:t>
            </w:r>
          </w:p>
          <w:p w14:paraId="2364E7AD">
            <w:pPr>
              <w:spacing w:line="360" w:lineRule="auto"/>
              <w:ind w:firstLine="405"/>
              <w:rPr>
                <w:rFonts w:ascii="Times New Roman" w:hAnsi="Times New Roman" w:eastAsia="宋体" w:cs="宋体"/>
                <w:caps w:val="0"/>
                <w:sz w:val="24"/>
                <w:highlight w:val="none"/>
              </w:rPr>
            </w:pPr>
            <w:r>
              <w:rPr>
                <w:rFonts w:ascii="Times New Roman" w:hAnsi="Times New Roman" w:eastAsia="宋体" w:cs="宋体"/>
                <w:b/>
                <w:bCs/>
                <w:caps w:val="0"/>
                <w:sz w:val="24"/>
                <w:highlight w:val="none"/>
              </w:rPr>
              <w:t>煤炭清洁高效利用工程。</w:t>
            </w:r>
            <w:r>
              <w:rPr>
                <w:rFonts w:ascii="Times New Roman" w:hAnsi="Times New Roman" w:eastAsia="宋体" w:cs="宋体"/>
                <w:caps w:val="0"/>
                <w:sz w:val="24"/>
                <w:highlight w:val="none"/>
              </w:rPr>
              <w:t>要立足以煤为主的基本国情，坚持先立后破，严格合理控制煤炭消费增长，抓好煤炭清洁高效利用，推进存量煤电机组节煤降耗改造、供热改造、灵活性改造</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三改联动</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，持续推动煤电机组超低排放改造。稳妥有序推进大气污染防治重点区域燃料类煤气发生炉、燃煤热风炉、加热炉、热处理炉、干燥炉（窑）以及建材行业煤炭减量，实施清洁电力和天然气替代。</w:t>
            </w:r>
          </w:p>
          <w:p w14:paraId="4CAC453D">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b/>
                <w:bCs w:val="0"/>
                <w:caps w:val="0"/>
                <w:spacing w:val="0"/>
                <w:sz w:val="24"/>
                <w:szCs w:val="24"/>
                <w:highlight w:val="none"/>
                <w:lang w:val="en-US" w:eastAsia="zh-CN"/>
              </w:rPr>
            </w:pPr>
            <w:r>
              <w:rPr>
                <w:rFonts w:ascii="Times New Roman" w:hAnsi="Times New Roman" w:eastAsia="宋体" w:cs="宋体"/>
                <w:bCs/>
                <w:caps w:val="0"/>
                <w:highlight w:val="none"/>
              </w:rPr>
              <w:t>本项目</w:t>
            </w:r>
            <w:r>
              <w:rPr>
                <w:rFonts w:hint="eastAsia" w:ascii="Times New Roman" w:hAnsi="Times New Roman" w:eastAsia="宋体" w:cs="宋体"/>
                <w:bCs/>
                <w:caps w:val="0"/>
                <w:highlight w:val="none"/>
                <w:lang w:val="en-US" w:eastAsia="zh-CN"/>
              </w:rPr>
              <w:t>燃油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bCs/>
                <w:caps w:val="0"/>
                <w:highlight w:val="none"/>
                <w:lang w:val="en-US" w:eastAsia="zh-CN"/>
              </w:rPr>
              <w:t>建设项目，在现有厂区改造1台和扩建2台0.35MW燃油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lang w:val="en-US" w:eastAsia="zh-CN"/>
              </w:rPr>
              <w:t>两用一备</w:t>
            </w:r>
            <w:r>
              <w:rPr>
                <w:rFonts w:hint="eastAsia" w:ascii="Times New Roman" w:hAnsi="Times New Roman" w:eastAsia="宋体" w:cs="宋体"/>
                <w:caps w:val="0"/>
                <w:color w:val="auto"/>
                <w:spacing w:val="0"/>
                <w:sz w:val="24"/>
                <w:highlight w:val="none"/>
                <w:lang w:eastAsia="zh-CN"/>
              </w:rPr>
              <w:t>）</w:t>
            </w:r>
            <w:r>
              <w:rPr>
                <w:rFonts w:ascii="Times New Roman" w:hAnsi="Times New Roman" w:eastAsia="宋体" w:cs="宋体"/>
                <w:bCs/>
                <w:caps w:val="0"/>
                <w:highlight w:val="none"/>
              </w:rPr>
              <w:t>，采用</w:t>
            </w:r>
            <w:r>
              <w:rPr>
                <w:rFonts w:hint="eastAsia" w:ascii="Times New Roman" w:hAnsi="Times New Roman" w:eastAsia="宋体" w:cs="宋体"/>
                <w:bCs/>
                <w:caps w:val="0"/>
                <w:highlight w:val="none"/>
                <w:lang w:val="en-US" w:eastAsia="zh-CN"/>
              </w:rPr>
              <w:t>轻质柴油</w:t>
            </w:r>
            <w:r>
              <w:rPr>
                <w:rFonts w:ascii="Times New Roman" w:hAnsi="Times New Roman" w:eastAsia="宋体" w:cs="宋体"/>
                <w:bCs/>
                <w:caps w:val="0"/>
                <w:highlight w:val="none"/>
              </w:rPr>
              <w:t>，不使用煤炭，</w:t>
            </w:r>
            <w:r>
              <w:rPr>
                <w:rFonts w:hint="eastAsia" w:ascii="Times New Roman" w:hAnsi="Times New Roman" w:cs="宋体"/>
                <w:caps w:val="0"/>
                <w:spacing w:val="0"/>
                <w:sz w:val="24"/>
                <w:highlight w:val="none"/>
                <w:lang w:val="en-US" w:eastAsia="zh-CN"/>
              </w:rPr>
              <w:t>导热油炉</w:t>
            </w:r>
            <w:r>
              <w:rPr>
                <w:rFonts w:ascii="Times New Roman" w:hAnsi="Times New Roman" w:eastAsia="宋体" w:cs="宋体"/>
                <w:bCs/>
                <w:caps w:val="0"/>
                <w:highlight w:val="none"/>
              </w:rPr>
              <w:t>产生的烟气</w:t>
            </w:r>
            <w:r>
              <w:rPr>
                <w:rFonts w:ascii="Times New Roman" w:hAnsi="Times New Roman" w:eastAsia="宋体" w:cs="宋体"/>
                <w:bCs/>
                <w:caps w:val="0"/>
                <w:szCs w:val="21"/>
                <w:highlight w:val="none"/>
              </w:rPr>
              <w:t>污染物经处理后，排放浓度满足《锅炉大气污染物排放标准》（GB13271-2014）</w:t>
            </w:r>
            <w:r>
              <w:rPr>
                <w:rFonts w:ascii="Times New Roman" w:hAnsi="Times New Roman" w:eastAsia="宋体" w:cs="宋体"/>
                <w:bCs/>
                <w:caps w:val="0"/>
                <w:highlight w:val="none"/>
              </w:rPr>
              <w:t>，因此项目建设符合</w:t>
            </w:r>
            <w:r>
              <w:rPr>
                <w:rFonts w:ascii="Times New Roman" w:hAnsi="Times New Roman" w:eastAsia="宋体" w:cs="宋体"/>
                <w:caps w:val="0"/>
                <w:highlight w:val="none"/>
              </w:rPr>
              <w:t>《</w:t>
            </w:r>
            <w:r>
              <w:rPr>
                <w:rFonts w:hint="eastAsia" w:ascii="Times New Roman" w:hAnsi="Times New Roman" w:eastAsia="宋体" w:cs="宋体"/>
                <w:bCs/>
                <w:caps w:val="0"/>
                <w:highlight w:val="none"/>
                <w:lang w:eastAsia="zh-CN"/>
              </w:rPr>
              <w:t>“</w:t>
            </w:r>
            <w:r>
              <w:rPr>
                <w:rFonts w:ascii="Times New Roman" w:hAnsi="Times New Roman" w:eastAsia="宋体" w:cs="宋体"/>
                <w:bCs/>
                <w:caps w:val="0"/>
                <w:highlight w:val="none"/>
              </w:rPr>
              <w:t>十四五</w:t>
            </w:r>
            <w:r>
              <w:rPr>
                <w:rFonts w:hint="eastAsia" w:ascii="Times New Roman" w:hAnsi="Times New Roman" w:eastAsia="宋体" w:cs="宋体"/>
                <w:bCs/>
                <w:caps w:val="0"/>
                <w:highlight w:val="none"/>
                <w:lang w:eastAsia="zh-CN"/>
              </w:rPr>
              <w:t>”</w:t>
            </w:r>
            <w:r>
              <w:rPr>
                <w:rFonts w:ascii="Times New Roman" w:hAnsi="Times New Roman" w:eastAsia="宋体" w:cs="宋体"/>
                <w:bCs/>
                <w:caps w:val="0"/>
                <w:highlight w:val="none"/>
              </w:rPr>
              <w:t>节能减排综合工作方案</w:t>
            </w:r>
            <w:r>
              <w:rPr>
                <w:rFonts w:ascii="Times New Roman" w:hAnsi="Times New Roman" w:eastAsia="宋体" w:cs="宋体"/>
                <w:caps w:val="0"/>
                <w:highlight w:val="none"/>
              </w:rPr>
              <w:t>》要求。</w:t>
            </w:r>
          </w:p>
          <w:p w14:paraId="7B347FF5">
            <w:pPr>
              <w:pStyle w:val="123"/>
              <w:spacing w:line="360" w:lineRule="auto"/>
              <w:ind w:firstLine="482"/>
              <w:jc w:val="both"/>
              <w:rPr>
                <w:rFonts w:ascii="Times New Roman" w:hAnsi="Times New Roman" w:eastAsia="宋体" w:cs="宋体"/>
                <w:b/>
                <w:caps w:val="0"/>
                <w:kern w:val="0"/>
                <w:sz w:val="24"/>
                <w:szCs w:val="24"/>
                <w:highlight w:val="none"/>
              </w:rPr>
            </w:pPr>
            <w:r>
              <w:rPr>
                <w:rFonts w:hint="eastAsia" w:ascii="Times New Roman" w:hAnsi="Times New Roman" w:eastAsia="宋体" w:cs="宋体"/>
                <w:b/>
                <w:caps w:val="0"/>
                <w:kern w:val="0"/>
                <w:sz w:val="24"/>
                <w:szCs w:val="24"/>
                <w:highlight w:val="none"/>
                <w:lang w:val="en-US" w:eastAsia="zh-CN"/>
              </w:rPr>
              <w:t>2.8</w:t>
            </w:r>
            <w:r>
              <w:rPr>
                <w:rFonts w:ascii="Times New Roman" w:hAnsi="Times New Roman" w:eastAsia="宋体" w:cs="宋体"/>
                <w:b/>
                <w:caps w:val="0"/>
                <w:kern w:val="0"/>
                <w:sz w:val="24"/>
                <w:szCs w:val="24"/>
                <w:highlight w:val="none"/>
              </w:rPr>
              <w:t>与《</w:t>
            </w:r>
            <w:r>
              <w:rPr>
                <w:rFonts w:hint="eastAsia" w:ascii="Times New Roman" w:hAnsi="Times New Roman" w:eastAsia="宋体" w:cs="宋体"/>
                <w:b/>
                <w:caps w:val="0"/>
                <w:kern w:val="0"/>
                <w:sz w:val="24"/>
                <w:szCs w:val="24"/>
                <w:highlight w:val="none"/>
              </w:rPr>
              <w:t>鸡西市</w:t>
            </w:r>
            <w:r>
              <w:rPr>
                <w:rFonts w:hint="eastAsia" w:ascii="Times New Roman" w:hAnsi="Times New Roman" w:eastAsia="宋体" w:cs="宋体"/>
                <w:b/>
                <w:caps w:val="0"/>
                <w:kern w:val="0"/>
                <w:sz w:val="24"/>
                <w:szCs w:val="24"/>
                <w:highlight w:val="none"/>
                <w:lang w:eastAsia="zh-CN"/>
              </w:rPr>
              <w:t>“</w:t>
            </w:r>
            <w:r>
              <w:rPr>
                <w:rFonts w:ascii="Times New Roman" w:hAnsi="Times New Roman" w:eastAsia="宋体" w:cs="宋体"/>
                <w:b/>
                <w:caps w:val="0"/>
                <w:kern w:val="0"/>
                <w:sz w:val="24"/>
                <w:szCs w:val="24"/>
                <w:highlight w:val="none"/>
              </w:rPr>
              <w:t>十四五</w:t>
            </w:r>
            <w:r>
              <w:rPr>
                <w:rFonts w:hint="eastAsia" w:ascii="Times New Roman" w:hAnsi="Times New Roman" w:eastAsia="宋体" w:cs="宋体"/>
                <w:b/>
                <w:caps w:val="0"/>
                <w:kern w:val="0"/>
                <w:sz w:val="24"/>
                <w:szCs w:val="24"/>
                <w:highlight w:val="none"/>
                <w:lang w:eastAsia="zh-CN"/>
              </w:rPr>
              <w:t>”</w:t>
            </w:r>
            <w:r>
              <w:rPr>
                <w:rFonts w:ascii="Times New Roman" w:hAnsi="Times New Roman" w:eastAsia="宋体" w:cs="宋体"/>
                <w:b/>
                <w:caps w:val="0"/>
                <w:kern w:val="0"/>
                <w:sz w:val="24"/>
                <w:szCs w:val="24"/>
                <w:highlight w:val="none"/>
              </w:rPr>
              <w:t>生态环境保护规划》符合性分析</w:t>
            </w:r>
          </w:p>
          <w:p w14:paraId="02F3A6BB">
            <w:pPr>
              <w:pStyle w:val="123"/>
              <w:spacing w:line="360" w:lineRule="auto"/>
              <w:ind w:firstLine="480"/>
              <w:jc w:val="both"/>
              <w:rPr>
                <w:rFonts w:ascii="Times New Roman" w:hAnsi="Times New Roman" w:eastAsia="宋体" w:cs="宋体"/>
                <w:caps w:val="0"/>
                <w:sz w:val="24"/>
                <w:highlight w:val="none"/>
              </w:rPr>
            </w:pPr>
            <w:r>
              <w:rPr>
                <w:rFonts w:ascii="Times New Roman" w:hAnsi="Times New Roman" w:eastAsia="宋体" w:cs="宋体"/>
                <w:bCs w:val="0"/>
                <w:caps w:val="0"/>
                <w:kern w:val="0"/>
                <w:sz w:val="24"/>
                <w:szCs w:val="24"/>
                <w:highlight w:val="none"/>
              </w:rPr>
              <w:t>根据《</w:t>
            </w:r>
            <w:r>
              <w:rPr>
                <w:rFonts w:hint="eastAsia" w:ascii="Times New Roman" w:hAnsi="Times New Roman" w:eastAsia="宋体" w:cs="宋体"/>
                <w:bCs w:val="0"/>
                <w:caps w:val="0"/>
                <w:kern w:val="0"/>
                <w:sz w:val="24"/>
                <w:highlight w:val="none"/>
              </w:rPr>
              <w:t>鸡</w:t>
            </w:r>
            <w:r>
              <w:rPr>
                <w:rFonts w:hint="eastAsia" w:ascii="Times New Roman" w:hAnsi="Times New Roman" w:eastAsia="宋体" w:cs="宋体"/>
                <w:caps w:val="0"/>
                <w:sz w:val="24"/>
                <w:highlight w:val="none"/>
              </w:rPr>
              <w:t>西市</w:t>
            </w:r>
            <w:r>
              <w:rPr>
                <w:rFonts w:hint="eastAsia" w:ascii="宋体" w:hAnsi="宋体" w:eastAsia="宋体" w:cs="宋体"/>
                <w:caps w:val="0"/>
                <w:sz w:val="24"/>
                <w:highlight w:val="none"/>
                <w:lang w:eastAsia="zh-CN"/>
              </w:rPr>
              <w:t>“</w:t>
            </w:r>
            <w:r>
              <w:rPr>
                <w:rFonts w:ascii="Times New Roman" w:hAnsi="Times New Roman" w:eastAsia="宋体" w:cs="宋体"/>
                <w:caps w:val="0"/>
                <w:sz w:val="24"/>
                <w:highlight w:val="none"/>
              </w:rPr>
              <w:t>十四五</w:t>
            </w:r>
            <w:r>
              <w:rPr>
                <w:rFonts w:hint="eastAsia" w:ascii="宋体" w:hAnsi="宋体" w:eastAsia="宋体" w:cs="宋体"/>
                <w:caps w:val="0"/>
                <w:sz w:val="24"/>
                <w:highlight w:val="none"/>
                <w:lang w:eastAsia="zh-CN"/>
              </w:rPr>
              <w:t>”</w:t>
            </w:r>
            <w:r>
              <w:rPr>
                <w:rFonts w:ascii="Times New Roman" w:hAnsi="Times New Roman" w:eastAsia="宋体" w:cs="宋体"/>
                <w:caps w:val="0"/>
                <w:sz w:val="24"/>
                <w:highlight w:val="none"/>
              </w:rPr>
              <w:t>生态环境保护规划》</w:t>
            </w:r>
            <w:r>
              <w:rPr>
                <w:rFonts w:hint="eastAsia" w:ascii="Times New Roman" w:hAnsi="Times New Roman" w:eastAsia="宋体" w:cs="宋体"/>
                <w:caps w:val="0"/>
                <w:sz w:val="24"/>
                <w:highlight w:val="none"/>
              </w:rPr>
              <w:t>，</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……加大燃煤污染治理力度。深入实施散煤污染治理</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三重一改</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攻坚行动，统筹全市棚户区、城中村、城乡结合部、商户和农村地区散煤污染治理，按照</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煤炭集中使用、清洁利用</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原则，重点削减散煤、工业锅炉、工业炉窑等非电用煤，以</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煤改气</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煤改电</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为主要方式，降低煤炭在能源消费中的比重。持续推进清洁取暖，加快生物质成型燃料供暖，构建绿色、节约、高效、协调、适用的清洁供暖体系。市主城区建成区基本实现散煤清零。加快淘汰全市建成区10—35蒸吨/小时燃煤锅炉，推进65蒸吨/小时及以上燃煤锅炉（含电力）超低排放改造，实现20蒸吨/小时及以上锅炉稳定达标排放全覆盖。……</w:t>
            </w:r>
            <w:r>
              <w:rPr>
                <w:rFonts w:hint="eastAsia" w:ascii="Times New Roman" w:hAnsi="Times New Roman" w:eastAsia="宋体" w:cs="宋体"/>
                <w:caps w:val="0"/>
                <w:sz w:val="24"/>
                <w:highlight w:val="none"/>
                <w:lang w:eastAsia="zh-CN"/>
              </w:rPr>
              <w:t>”</w:t>
            </w:r>
            <w:r>
              <w:rPr>
                <w:rFonts w:ascii="Times New Roman" w:hAnsi="Times New Roman" w:eastAsia="宋体" w:cs="宋体"/>
                <w:caps w:val="0"/>
                <w:sz w:val="24"/>
                <w:highlight w:val="none"/>
              </w:rPr>
              <w:t>。</w:t>
            </w:r>
          </w:p>
          <w:p w14:paraId="5C1595CF">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b/>
                <w:bCs w:val="0"/>
                <w:caps w:val="0"/>
                <w:spacing w:val="0"/>
                <w:sz w:val="24"/>
                <w:szCs w:val="24"/>
                <w:highlight w:val="none"/>
                <w:lang w:val="en-US" w:eastAsia="zh-CN"/>
              </w:rPr>
            </w:pPr>
            <w:r>
              <w:rPr>
                <w:rFonts w:ascii="Times New Roman" w:hAnsi="Times New Roman" w:eastAsia="宋体" w:cs="宋体"/>
                <w:bCs w:val="0"/>
                <w:caps w:val="0"/>
                <w:kern w:val="0"/>
                <w:sz w:val="24"/>
                <w:szCs w:val="24"/>
                <w:highlight w:val="none"/>
              </w:rPr>
              <w:t>本项目位于</w:t>
            </w:r>
            <w:r>
              <w:rPr>
                <w:rFonts w:hint="eastAsia" w:ascii="Times New Roman" w:hAnsi="Times New Roman" w:cs="宋体"/>
                <w:caps w:val="0"/>
                <w:color w:val="auto"/>
                <w:spacing w:val="0"/>
                <w:sz w:val="24"/>
                <w:szCs w:val="24"/>
                <w:highlight w:val="none"/>
                <w:lang w:val="en-US" w:eastAsia="zh-CN"/>
              </w:rPr>
              <w:t>黑龙江省鸡西市梨树区穆棱矿区双建委</w:t>
            </w:r>
            <w:r>
              <w:rPr>
                <w:rFonts w:hint="eastAsia" w:ascii="Times New Roman" w:hAnsi="Times New Roman" w:eastAsia="宋体" w:cs="宋体"/>
                <w:caps w:val="0"/>
                <w:color w:val="auto"/>
                <w:spacing w:val="0"/>
                <w:sz w:val="24"/>
                <w:szCs w:val="24"/>
                <w:highlight w:val="none"/>
                <w:lang w:val="en-US" w:eastAsia="zh-CN"/>
              </w:rPr>
              <w:t>（鸡西市燎盛新材料科技有限公司院内）</w:t>
            </w:r>
            <w:r>
              <w:rPr>
                <w:rFonts w:ascii="Times New Roman" w:hAnsi="Times New Roman" w:eastAsia="宋体" w:cs="宋体"/>
                <w:caps w:val="0"/>
                <w:sz w:val="24"/>
                <w:highlight w:val="none"/>
              </w:rPr>
              <w:t>，</w:t>
            </w:r>
            <w:r>
              <w:rPr>
                <w:rFonts w:hint="eastAsia" w:ascii="Times New Roman" w:hAnsi="Times New Roman" w:eastAsia="宋体" w:cs="宋体"/>
                <w:caps w:val="0"/>
                <w:sz w:val="24"/>
                <w:highlight w:val="none"/>
                <w:lang w:val="en-US" w:eastAsia="zh-CN"/>
              </w:rPr>
              <w:t>在现有厂区内建设，不新增占地</w:t>
            </w:r>
            <w:r>
              <w:rPr>
                <w:rFonts w:ascii="Times New Roman" w:hAnsi="Times New Roman" w:eastAsia="宋体" w:cs="宋体"/>
                <w:bCs w:val="0"/>
                <w:caps w:val="0"/>
                <w:kern w:val="0"/>
                <w:sz w:val="24"/>
                <w:szCs w:val="24"/>
                <w:highlight w:val="none"/>
              </w:rPr>
              <w:t>，</w:t>
            </w:r>
            <w:r>
              <w:rPr>
                <w:rFonts w:hint="eastAsia" w:ascii="Times New Roman" w:hAnsi="Times New Roman" w:eastAsia="宋体" w:cs="宋体"/>
                <w:bCs w:val="0"/>
                <w:caps w:val="0"/>
                <w:kern w:val="0"/>
                <w:sz w:val="24"/>
                <w:szCs w:val="24"/>
                <w:highlight w:val="none"/>
                <w:lang w:val="en-US" w:eastAsia="zh-CN"/>
              </w:rPr>
              <w:t>位于城市建成区内</w:t>
            </w:r>
            <w:r>
              <w:rPr>
                <w:rFonts w:ascii="Times New Roman" w:hAnsi="Times New Roman" w:eastAsia="宋体" w:cs="宋体"/>
                <w:bCs w:val="0"/>
                <w:caps w:val="0"/>
                <w:sz w:val="24"/>
                <w:highlight w:val="none"/>
              </w:rPr>
              <w:t>，项目所处区域为环境空气质量达标区，</w:t>
            </w:r>
            <w:r>
              <w:rPr>
                <w:rFonts w:hint="eastAsia" w:ascii="Times New Roman" w:hAnsi="Times New Roman" w:eastAsia="宋体" w:cs="宋体"/>
                <w:bCs w:val="0"/>
                <w:caps w:val="0"/>
                <w:sz w:val="24"/>
                <w:highlight w:val="none"/>
              </w:rPr>
              <w:t>燃用</w:t>
            </w:r>
            <w:r>
              <w:rPr>
                <w:rFonts w:hint="eastAsia" w:ascii="Times New Roman" w:hAnsi="Times New Roman" w:eastAsia="宋体" w:cs="宋体"/>
                <w:bCs w:val="0"/>
                <w:caps w:val="0"/>
                <w:sz w:val="24"/>
                <w:highlight w:val="none"/>
                <w:lang w:val="en-US" w:eastAsia="zh-CN"/>
              </w:rPr>
              <w:t>轻质柴油</w:t>
            </w:r>
            <w:r>
              <w:rPr>
                <w:rFonts w:hint="eastAsia" w:ascii="Times New Roman" w:hAnsi="Times New Roman" w:eastAsia="宋体" w:cs="宋体"/>
                <w:bCs w:val="0"/>
                <w:caps w:val="0"/>
                <w:sz w:val="24"/>
                <w:highlight w:val="none"/>
              </w:rPr>
              <w:t>，不采用煤炭，</w:t>
            </w:r>
            <w:r>
              <w:rPr>
                <w:rFonts w:ascii="Times New Roman" w:hAnsi="Times New Roman" w:eastAsia="宋体" w:cs="宋体"/>
                <w:bCs w:val="0"/>
                <w:caps w:val="0"/>
                <w:sz w:val="24"/>
                <w:highlight w:val="none"/>
              </w:rPr>
              <w:t>采取</w:t>
            </w:r>
            <w:r>
              <w:rPr>
                <w:rFonts w:hint="eastAsia" w:ascii="Times New Roman" w:hAnsi="Times New Roman" w:eastAsia="宋体" w:cs="宋体"/>
                <w:bCs w:val="0"/>
                <w:caps w:val="0"/>
                <w:sz w:val="24"/>
                <w:highlight w:val="none"/>
              </w:rPr>
              <w:t>高效</w:t>
            </w:r>
            <w:r>
              <w:rPr>
                <w:rFonts w:ascii="Times New Roman" w:hAnsi="Times New Roman" w:eastAsia="宋体" w:cs="宋体"/>
                <w:bCs w:val="0"/>
                <w:caps w:val="0"/>
                <w:sz w:val="24"/>
                <w:highlight w:val="none"/>
              </w:rPr>
              <w:t>布袋除尘器</w:t>
            </w:r>
            <w:r>
              <w:rPr>
                <w:rFonts w:hint="eastAsia" w:ascii="Times New Roman" w:hAnsi="Times New Roman" w:eastAsia="宋体" w:cs="宋体"/>
                <w:bCs w:val="0"/>
                <w:caps w:val="0"/>
                <w:sz w:val="24"/>
                <w:highlight w:val="none"/>
              </w:rPr>
              <w:t>进行</w:t>
            </w:r>
            <w:r>
              <w:rPr>
                <w:rFonts w:ascii="Times New Roman" w:hAnsi="Times New Roman" w:eastAsia="宋体" w:cs="宋体"/>
                <w:bCs w:val="0"/>
                <w:caps w:val="0"/>
                <w:sz w:val="24"/>
                <w:highlight w:val="none"/>
              </w:rPr>
              <w:t>除尘，</w:t>
            </w:r>
            <w:r>
              <w:rPr>
                <w:rFonts w:hint="eastAsia" w:ascii="Times New Roman" w:hAnsi="Times New Roman" w:eastAsia="宋体" w:cs="宋体"/>
                <w:bCs w:val="0"/>
                <w:caps w:val="0"/>
                <w:sz w:val="24"/>
                <w:highlight w:val="none"/>
              </w:rPr>
              <w:t>经处理后，</w:t>
            </w:r>
            <w:r>
              <w:rPr>
                <w:rFonts w:ascii="Times New Roman" w:hAnsi="Times New Roman" w:eastAsia="宋体" w:cs="宋体"/>
                <w:caps w:val="0"/>
                <w:sz w:val="24"/>
                <w:highlight w:val="none"/>
              </w:rPr>
              <w:t>大气污染物SO</w:t>
            </w:r>
            <w:r>
              <w:rPr>
                <w:rFonts w:ascii="Times New Roman" w:hAnsi="Times New Roman" w:eastAsia="宋体" w:cs="宋体"/>
                <w:caps w:val="0"/>
                <w:sz w:val="24"/>
                <w:highlight w:val="none"/>
                <w:vertAlign w:val="subscript"/>
              </w:rPr>
              <w:t>2</w:t>
            </w:r>
            <w:r>
              <w:rPr>
                <w:rFonts w:ascii="Times New Roman" w:hAnsi="Times New Roman" w:eastAsia="宋体" w:cs="宋体"/>
                <w:caps w:val="0"/>
                <w:sz w:val="24"/>
                <w:highlight w:val="none"/>
              </w:rPr>
              <w:t>、NO</w:t>
            </w:r>
            <w:r>
              <w:rPr>
                <w:rFonts w:ascii="Times New Roman" w:hAnsi="Times New Roman" w:eastAsia="宋体" w:cs="宋体"/>
                <w:caps w:val="0"/>
                <w:sz w:val="24"/>
                <w:szCs w:val="24"/>
                <w:highlight w:val="none"/>
                <w:vertAlign w:val="subscript"/>
              </w:rPr>
              <w:t>X</w:t>
            </w:r>
            <w:r>
              <w:rPr>
                <w:rFonts w:ascii="Times New Roman" w:hAnsi="Times New Roman" w:eastAsia="宋体" w:cs="宋体"/>
                <w:caps w:val="0"/>
                <w:sz w:val="24"/>
                <w:szCs w:val="24"/>
                <w:highlight w:val="none"/>
              </w:rPr>
              <w:t>、烟尘</w:t>
            </w:r>
            <w:r>
              <w:rPr>
                <w:rFonts w:ascii="Times New Roman" w:hAnsi="Times New Roman" w:eastAsia="宋体" w:cs="宋体"/>
                <w:bCs w:val="0"/>
                <w:caps w:val="0"/>
                <w:sz w:val="24"/>
                <w:szCs w:val="24"/>
                <w:highlight w:val="none"/>
              </w:rPr>
              <w:t>排放浓度满足《锅炉大气污染物排放标准》（GB13271-2014）</w:t>
            </w:r>
            <w:r>
              <w:rPr>
                <w:rFonts w:ascii="Times New Roman" w:hAnsi="Times New Roman" w:eastAsia="宋体" w:cs="宋体"/>
                <w:caps w:val="0"/>
                <w:sz w:val="24"/>
                <w:szCs w:val="24"/>
                <w:highlight w:val="none"/>
              </w:rPr>
              <w:t>，项目建设</w:t>
            </w:r>
            <w:r>
              <w:rPr>
                <w:rFonts w:ascii="Times New Roman" w:hAnsi="Times New Roman" w:eastAsia="宋体" w:cs="宋体"/>
                <w:caps w:val="0"/>
                <w:sz w:val="24"/>
                <w:highlight w:val="none"/>
              </w:rPr>
              <w:t>符合</w:t>
            </w:r>
            <w:r>
              <w:rPr>
                <w:rFonts w:ascii="Times New Roman" w:hAnsi="Times New Roman" w:eastAsia="宋体" w:cs="宋体"/>
                <w:bCs w:val="0"/>
                <w:caps w:val="0"/>
                <w:kern w:val="0"/>
                <w:sz w:val="24"/>
                <w:szCs w:val="24"/>
                <w:highlight w:val="none"/>
              </w:rPr>
              <w:t>《</w:t>
            </w:r>
            <w:r>
              <w:rPr>
                <w:rFonts w:hint="eastAsia" w:ascii="Times New Roman" w:hAnsi="Times New Roman" w:eastAsia="宋体" w:cs="宋体"/>
                <w:bCs w:val="0"/>
                <w:caps w:val="0"/>
                <w:kern w:val="0"/>
                <w:sz w:val="24"/>
                <w:szCs w:val="24"/>
                <w:highlight w:val="none"/>
              </w:rPr>
              <w:t>鸡西市</w:t>
            </w:r>
            <w:r>
              <w:rPr>
                <w:rFonts w:hint="eastAsia" w:ascii="Times New Roman" w:hAnsi="Times New Roman" w:eastAsia="宋体" w:cs="宋体"/>
                <w:bCs w:val="0"/>
                <w:caps w:val="0"/>
                <w:kern w:val="0"/>
                <w:sz w:val="24"/>
                <w:szCs w:val="24"/>
                <w:highlight w:val="none"/>
                <w:lang w:eastAsia="zh-CN"/>
              </w:rPr>
              <w:t>“</w:t>
            </w:r>
            <w:r>
              <w:rPr>
                <w:rFonts w:ascii="Times New Roman" w:hAnsi="Times New Roman" w:eastAsia="宋体" w:cs="宋体"/>
                <w:bCs w:val="0"/>
                <w:caps w:val="0"/>
                <w:kern w:val="0"/>
                <w:sz w:val="24"/>
                <w:szCs w:val="24"/>
                <w:highlight w:val="none"/>
              </w:rPr>
              <w:t>十四五</w:t>
            </w:r>
            <w:r>
              <w:rPr>
                <w:rFonts w:hint="eastAsia" w:ascii="Times New Roman" w:hAnsi="Times New Roman" w:eastAsia="宋体" w:cs="宋体"/>
                <w:bCs w:val="0"/>
                <w:caps w:val="0"/>
                <w:kern w:val="0"/>
                <w:sz w:val="24"/>
                <w:szCs w:val="24"/>
                <w:highlight w:val="none"/>
                <w:lang w:eastAsia="zh-CN"/>
              </w:rPr>
              <w:t>”</w:t>
            </w:r>
            <w:r>
              <w:rPr>
                <w:rFonts w:ascii="Times New Roman" w:hAnsi="Times New Roman" w:eastAsia="宋体" w:cs="宋体"/>
                <w:bCs w:val="0"/>
                <w:caps w:val="0"/>
                <w:kern w:val="0"/>
                <w:sz w:val="24"/>
                <w:szCs w:val="24"/>
                <w:highlight w:val="none"/>
              </w:rPr>
              <w:t>生态环境保护规划》要求。</w:t>
            </w:r>
          </w:p>
          <w:p w14:paraId="76177736">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eastAsia" w:ascii="Times New Roman" w:hAnsi="Times New Roman" w:cs="宋体"/>
                <w:b/>
                <w:bCs w:val="0"/>
                <w:caps w:val="0"/>
                <w:spacing w:val="0"/>
                <w:sz w:val="24"/>
                <w:szCs w:val="24"/>
                <w:highlight w:val="none"/>
                <w:lang w:val="en-US" w:eastAsia="zh-CN"/>
              </w:rPr>
            </w:pPr>
            <w:r>
              <w:rPr>
                <w:rFonts w:hint="eastAsia" w:ascii="Times New Roman" w:hAnsi="Times New Roman" w:cs="宋体"/>
                <w:b/>
                <w:bCs w:val="0"/>
                <w:caps w:val="0"/>
                <w:spacing w:val="0"/>
                <w:sz w:val="24"/>
                <w:szCs w:val="24"/>
                <w:highlight w:val="none"/>
                <w:lang w:val="en-US" w:eastAsia="zh-CN"/>
              </w:rPr>
              <w:t>2.9与《固体废物综合治理行动计划》符合性分析</w:t>
            </w:r>
          </w:p>
          <w:p w14:paraId="3DCC8CDC">
            <w:pPr>
              <w:pStyle w:val="19"/>
              <w:keepNext w:val="0"/>
              <w:keepLines w:val="0"/>
              <w:pageBreakBefore w:val="0"/>
              <w:widowControl w:val="0"/>
              <w:numPr>
                <w:ilvl w:val="0"/>
                <w:numId w:val="4"/>
              </w:numPr>
              <w:kinsoku/>
              <w:wordWrap/>
              <w:overflowPunct/>
              <w:topLinePunct w:val="0"/>
              <w:autoSpaceDE/>
              <w:autoSpaceDN/>
              <w:bidi w:val="0"/>
              <w:adjustRightInd w:val="0"/>
              <w:snapToGrid w:val="0"/>
              <w:spacing w:after="0" w:line="360" w:lineRule="auto"/>
              <w:ind w:left="0" w:leftChars="0"/>
              <w:textAlignment w:val="auto"/>
              <w:rPr>
                <w:rFonts w:hint="eastAsia" w:ascii="宋体" w:hAnsi="宋体" w:eastAsia="宋体" w:cs="宋体"/>
                <w:i w:val="0"/>
                <w:iCs w:val="0"/>
                <w:caps w:val="0"/>
                <w:color w:val="333333"/>
                <w:spacing w:val="0"/>
                <w:sz w:val="24"/>
                <w:szCs w:val="24"/>
                <w:highlight w:val="none"/>
                <w:shd w:val="clear" w:fill="FFFFFF"/>
              </w:rPr>
            </w:pPr>
            <w:r>
              <w:rPr>
                <w:rFonts w:ascii="楷体" w:hAnsi="楷体" w:eastAsia="楷体" w:cs="楷体"/>
                <w:i w:val="0"/>
                <w:iCs w:val="0"/>
                <w:caps w:val="0"/>
                <w:color w:val="333333"/>
                <w:spacing w:val="0"/>
                <w:sz w:val="24"/>
                <w:szCs w:val="24"/>
                <w:highlight w:val="none"/>
                <w:shd w:val="clear" w:fill="FFFFFF"/>
              </w:rPr>
              <w:t>加强工业固体废物源头减量。</w:t>
            </w:r>
            <w:r>
              <w:rPr>
                <w:rFonts w:hint="eastAsia" w:ascii="宋体" w:hAnsi="宋体" w:eastAsia="宋体" w:cs="宋体"/>
                <w:i w:val="0"/>
                <w:iCs w:val="0"/>
                <w:caps w:val="0"/>
                <w:color w:val="333333"/>
                <w:spacing w:val="0"/>
                <w:sz w:val="24"/>
                <w:szCs w:val="24"/>
                <w:highlight w:val="none"/>
                <w:shd w:val="clear" w:fill="FFFFFF"/>
              </w:rPr>
              <w:t>严格落实产业、环保、节能等政策，依法依规淘汰落后产能。强化工业园区固体废物源头管控。大力推行绿色设计，支持企业改进生产工艺和装备，强化工业生产精细化管控，降低固体废物产生强度。推动重有色金属矿采选一体化建设，促进尾矿就近充填回填，原则上不再批准建设无自建矿山、无配套尾矿利用处置设施的选矿项目。推动重点行业固体废物产生量与综合消纳量逐步实现动态平衡。</w:t>
            </w:r>
          </w:p>
          <w:p w14:paraId="7DEBD9DD">
            <w:pPr>
              <w:pStyle w:val="1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Chars="0" w:firstLine="480" w:firstLineChars="200"/>
              <w:textAlignment w:val="auto"/>
              <w:rPr>
                <w:rFonts w:hint="eastAsia" w:ascii="宋体" w:hAnsi="宋体" w:eastAsia="宋体" w:cs="宋体"/>
                <w:i w:val="0"/>
                <w:iCs w:val="0"/>
                <w:caps w:val="0"/>
                <w:color w:val="333333"/>
                <w:spacing w:val="0"/>
                <w:sz w:val="24"/>
                <w:szCs w:val="24"/>
                <w:highlight w:val="none"/>
                <w:shd w:val="clear" w:fill="FFFFFF"/>
              </w:rPr>
            </w:pPr>
            <w:r>
              <w:rPr>
                <w:rFonts w:ascii="楷体" w:hAnsi="楷体" w:eastAsia="楷体" w:cs="楷体"/>
                <w:i w:val="0"/>
                <w:iCs w:val="0"/>
                <w:caps w:val="0"/>
                <w:color w:val="333333"/>
                <w:spacing w:val="0"/>
                <w:sz w:val="24"/>
                <w:szCs w:val="24"/>
                <w:highlight w:val="none"/>
                <w:shd w:val="clear" w:fill="FFFFFF"/>
              </w:rPr>
              <w:t>（四）加强工业固体废物规范化管理。</w:t>
            </w:r>
            <w:r>
              <w:rPr>
                <w:rFonts w:hint="eastAsia" w:ascii="宋体" w:hAnsi="宋体" w:eastAsia="宋体" w:cs="宋体"/>
                <w:i w:val="0"/>
                <w:iCs w:val="0"/>
                <w:caps w:val="0"/>
                <w:color w:val="333333"/>
                <w:spacing w:val="0"/>
                <w:sz w:val="24"/>
                <w:szCs w:val="24"/>
                <w:highlight w:val="none"/>
                <w:shd w:val="clear" w:fill="FFFFFF"/>
              </w:rPr>
              <w:t>完善工业固体废物管理台账制度，强化全链条跟踪管控。推行工业固体废物分类收集贮存，防范混堆混排。禁止向生活垃圾收集设施中投放工业固体废物。严格执行工业固体废物、危险废物跨省转移审批制度。规范各类企业危险废物收集管理。</w:t>
            </w:r>
          </w:p>
          <w:p w14:paraId="78EDFE55">
            <w:pPr>
              <w:pStyle w:val="1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Chars="0" w:firstLine="480" w:firstLineChars="200"/>
              <w:textAlignment w:val="auto"/>
              <w:rPr>
                <w:rFonts w:hint="eastAsia" w:ascii="宋体" w:hAnsi="宋体" w:eastAsia="宋体" w:cs="宋体"/>
                <w:i w:val="0"/>
                <w:iCs w:val="0"/>
                <w:caps w:val="0"/>
                <w:color w:val="333333"/>
                <w:spacing w:val="0"/>
                <w:sz w:val="24"/>
                <w:szCs w:val="24"/>
                <w:highlight w:val="none"/>
                <w:shd w:val="clear" w:fill="FFFFFF"/>
                <w:lang w:val="en-US" w:eastAsia="zh-CN"/>
              </w:rPr>
            </w:pPr>
            <w:r>
              <w:rPr>
                <w:rFonts w:hint="eastAsia" w:ascii="宋体" w:hAnsi="宋体" w:eastAsia="宋体" w:cs="宋体"/>
                <w:i w:val="0"/>
                <w:iCs w:val="0"/>
                <w:caps w:val="0"/>
                <w:color w:val="333333"/>
                <w:spacing w:val="0"/>
                <w:sz w:val="24"/>
                <w:szCs w:val="24"/>
                <w:highlight w:val="none"/>
                <w:shd w:val="clear" w:fill="FFFFFF"/>
                <w:lang w:val="en-US" w:eastAsia="zh-CN"/>
              </w:rPr>
              <w:t>符合性分析：本项目建成后严格落实产业、环保、节能政策，本项目不属于淘汰落后产能项目，本项目由原有生物质</w:t>
            </w:r>
            <w:r>
              <w:rPr>
                <w:rFonts w:hint="eastAsia" w:ascii="Times New Roman" w:hAnsi="Times New Roman" w:cs="宋体"/>
                <w:caps w:val="0"/>
                <w:spacing w:val="0"/>
                <w:sz w:val="24"/>
                <w:highlight w:val="none"/>
                <w:lang w:val="en-US" w:eastAsia="zh-CN"/>
              </w:rPr>
              <w:t>导热油炉</w:t>
            </w:r>
            <w:r>
              <w:rPr>
                <w:rFonts w:hint="eastAsia" w:ascii="宋体" w:hAnsi="宋体" w:eastAsia="宋体" w:cs="宋体"/>
                <w:i w:val="0"/>
                <w:iCs w:val="0"/>
                <w:caps w:val="0"/>
                <w:color w:val="333333"/>
                <w:spacing w:val="0"/>
                <w:sz w:val="24"/>
                <w:szCs w:val="24"/>
                <w:highlight w:val="none"/>
                <w:shd w:val="clear" w:fill="FFFFFF"/>
                <w:lang w:val="en-US" w:eastAsia="zh-CN"/>
              </w:rPr>
              <w:t>改为燃油</w:t>
            </w:r>
            <w:r>
              <w:rPr>
                <w:rFonts w:hint="eastAsia" w:ascii="Times New Roman" w:hAnsi="Times New Roman" w:cs="宋体"/>
                <w:caps w:val="0"/>
                <w:spacing w:val="0"/>
                <w:sz w:val="24"/>
                <w:highlight w:val="none"/>
                <w:lang w:val="en-US" w:eastAsia="zh-CN"/>
              </w:rPr>
              <w:t>导热油炉</w:t>
            </w:r>
            <w:r>
              <w:rPr>
                <w:rFonts w:hint="eastAsia" w:ascii="宋体" w:hAnsi="宋体" w:eastAsia="宋体" w:cs="宋体"/>
                <w:i w:val="0"/>
                <w:iCs w:val="0"/>
                <w:caps w:val="0"/>
                <w:color w:val="333333"/>
                <w:spacing w:val="0"/>
                <w:sz w:val="24"/>
                <w:szCs w:val="24"/>
                <w:highlight w:val="none"/>
                <w:shd w:val="clear" w:fill="FFFFFF"/>
                <w:lang w:val="en-US" w:eastAsia="zh-CN"/>
              </w:rPr>
              <w:t>，淘汰</w:t>
            </w:r>
            <w:r>
              <w:rPr>
                <w:rFonts w:hint="eastAsia" w:ascii="Times New Roman" w:hAnsi="Times New Roman" w:cs="宋体"/>
                <w:caps w:val="0"/>
                <w:spacing w:val="0"/>
                <w:sz w:val="24"/>
                <w:highlight w:val="none"/>
                <w:lang w:val="en-US" w:eastAsia="zh-CN"/>
              </w:rPr>
              <w:t>导热油炉</w:t>
            </w:r>
            <w:r>
              <w:rPr>
                <w:rFonts w:hint="eastAsia" w:ascii="宋体" w:hAnsi="宋体" w:eastAsia="宋体" w:cs="宋体"/>
                <w:i w:val="0"/>
                <w:iCs w:val="0"/>
                <w:caps w:val="0"/>
                <w:color w:val="333333"/>
                <w:spacing w:val="0"/>
                <w:sz w:val="24"/>
                <w:szCs w:val="24"/>
                <w:highlight w:val="none"/>
                <w:shd w:val="clear" w:fill="FFFFFF"/>
                <w:lang w:val="en-US" w:eastAsia="zh-CN"/>
              </w:rPr>
              <w:t>在建成后进行拆除，消除了</w:t>
            </w:r>
            <w:r>
              <w:rPr>
                <w:rFonts w:hint="eastAsia" w:ascii="Times New Roman" w:hAnsi="Times New Roman" w:cs="宋体"/>
                <w:caps w:val="0"/>
                <w:spacing w:val="0"/>
                <w:sz w:val="24"/>
                <w:highlight w:val="none"/>
                <w:lang w:val="en-US" w:eastAsia="zh-CN"/>
              </w:rPr>
              <w:t>导热油炉</w:t>
            </w:r>
            <w:r>
              <w:rPr>
                <w:rFonts w:hint="eastAsia" w:ascii="宋体" w:hAnsi="宋体" w:eastAsia="宋体" w:cs="宋体"/>
                <w:i w:val="0"/>
                <w:iCs w:val="0"/>
                <w:caps w:val="0"/>
                <w:color w:val="333333"/>
                <w:spacing w:val="0"/>
                <w:sz w:val="24"/>
                <w:szCs w:val="24"/>
                <w:highlight w:val="none"/>
                <w:shd w:val="clear" w:fill="FFFFFF"/>
                <w:lang w:val="en-US" w:eastAsia="zh-CN"/>
              </w:rPr>
              <w:t>灰渣的产生。属于从源头降低固废产生强度。项目建成后晚上工业固废管理台账制度，强化全链条跟踪监控，推行固体废物分类收集，严格控制，防止混堆混排。规范危险废物收集与委托处置。强化危险废物贮存点的建设。总是本项目符合《固体废物综合治理行动计划》相关要求。</w:t>
            </w:r>
          </w:p>
          <w:p w14:paraId="3AACC7FA">
            <w:pPr>
              <w:pStyle w:val="1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Chars="0" w:firstLine="482" w:firstLineChars="200"/>
              <w:textAlignment w:val="auto"/>
              <w:rPr>
                <w:rFonts w:hint="eastAsia" w:ascii="宋体" w:hAnsi="宋体" w:eastAsia="宋体" w:cs="宋体"/>
                <w:b/>
                <w:bCs w:val="0"/>
                <w:i w:val="0"/>
                <w:iCs w:val="0"/>
                <w:caps w:val="0"/>
                <w:color w:val="333333"/>
                <w:spacing w:val="0"/>
                <w:sz w:val="24"/>
                <w:szCs w:val="24"/>
                <w:highlight w:val="none"/>
                <w:shd w:val="clear" w:fill="FFFFFF"/>
                <w:lang w:val="en-US" w:eastAsia="zh-CN"/>
              </w:rPr>
            </w:pPr>
            <w:r>
              <w:rPr>
                <w:rFonts w:hint="eastAsia" w:ascii="宋体" w:hAnsi="宋体" w:eastAsia="宋体" w:cs="宋体"/>
                <w:b/>
                <w:bCs w:val="0"/>
                <w:i w:val="0"/>
                <w:iCs w:val="0"/>
                <w:caps w:val="0"/>
                <w:color w:val="333333"/>
                <w:spacing w:val="0"/>
                <w:sz w:val="24"/>
                <w:szCs w:val="24"/>
                <w:highlight w:val="none"/>
                <w:shd w:val="clear" w:fill="FFFFFF"/>
                <w:lang w:val="en-US" w:eastAsia="zh-CN"/>
              </w:rPr>
              <w:t>2.10与《一般工业固体废物环境管理工作指南》符合性分析</w:t>
            </w:r>
          </w:p>
          <w:p w14:paraId="41614B33">
            <w:pPr>
              <w:pStyle w:val="1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Chars="0" w:firstLine="480" w:firstLineChars="200"/>
              <w:textAlignment w:val="auto"/>
              <w:rPr>
                <w:rFonts w:hint="default" w:ascii="宋体" w:hAnsi="宋体" w:eastAsia="宋体" w:cs="宋体"/>
                <w:b w:val="0"/>
                <w:bCs/>
                <w:i w:val="0"/>
                <w:iCs w:val="0"/>
                <w:caps w:val="0"/>
                <w:color w:val="333333"/>
                <w:spacing w:val="0"/>
                <w:sz w:val="24"/>
                <w:szCs w:val="24"/>
                <w:highlight w:val="none"/>
                <w:shd w:val="clear" w:fill="FFFFFF"/>
                <w:lang w:val="en-US" w:eastAsia="zh-CN"/>
              </w:rPr>
            </w:pPr>
            <w:r>
              <w:rPr>
                <w:rFonts w:hint="default" w:ascii="宋体" w:hAnsi="宋体" w:eastAsia="宋体" w:cs="宋体"/>
                <w:b w:val="0"/>
                <w:bCs/>
                <w:i w:val="0"/>
                <w:iCs w:val="0"/>
                <w:caps w:val="0"/>
                <w:color w:val="333333"/>
                <w:spacing w:val="0"/>
                <w:sz w:val="24"/>
                <w:szCs w:val="24"/>
                <w:highlight w:val="none"/>
                <w:shd w:val="clear" w:fill="FFFFFF"/>
                <w:lang w:val="en-US" w:eastAsia="zh-CN"/>
              </w:rPr>
              <w:t>(一)落实主体责任。坚持污染担责原则，产废单位应建立健全一般工业固体废物产生、收集、贮存、运输、利用、处置全过程污染环境防治责任制度，减少固体废物产生量，促进固体废物综合利用，降低固体废物危害性。规范建立一般工业固体废物环境管理台账，鼓励使用电子台账，强化全过程跟踪管控。产废单位不得擅自倾倒、堆放、丢弃、遗撒一般工业固体废物。</w:t>
            </w:r>
          </w:p>
          <w:p w14:paraId="6D66BF20">
            <w:pPr>
              <w:pStyle w:val="1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Chars="0" w:firstLine="480" w:firstLineChars="200"/>
              <w:textAlignment w:val="auto"/>
              <w:rPr>
                <w:rFonts w:hint="default" w:ascii="宋体" w:hAnsi="宋体" w:eastAsia="宋体" w:cs="宋体"/>
                <w:b w:val="0"/>
                <w:bCs/>
                <w:i w:val="0"/>
                <w:iCs w:val="0"/>
                <w:caps w:val="0"/>
                <w:color w:val="333333"/>
                <w:spacing w:val="0"/>
                <w:sz w:val="24"/>
                <w:szCs w:val="24"/>
                <w:highlight w:val="none"/>
                <w:shd w:val="clear" w:fill="FFFFFF"/>
                <w:lang w:val="en-US" w:eastAsia="zh-CN"/>
              </w:rPr>
            </w:pPr>
            <w:r>
              <w:rPr>
                <w:rFonts w:hint="default" w:ascii="宋体" w:hAnsi="宋体" w:eastAsia="宋体" w:cs="宋体"/>
                <w:b w:val="0"/>
                <w:bCs/>
                <w:i w:val="0"/>
                <w:iCs w:val="0"/>
                <w:caps w:val="0"/>
                <w:color w:val="333333"/>
                <w:spacing w:val="0"/>
                <w:sz w:val="24"/>
                <w:szCs w:val="24"/>
                <w:highlight w:val="none"/>
                <w:shd w:val="clear" w:fill="FFFFFF"/>
                <w:lang w:val="en-US" w:eastAsia="zh-CN"/>
              </w:rPr>
              <w:t>(二)注重源头管理。在建设项目环境影响评价文件中明确工业固体废物的种类、名称、产生量、利用和处置方式等内容。提高排污许可证和执行报告以及排放源统计年报中一般工业固体废物信息填报的准确率。推进产废单位依法实施清洁生产审核。依法限期淘汰产生严重污染环境的工业固体废物的落后生产工艺和设备。产废单位应当按照工业固体废物的污染特性进行分类管理，采取必要措施防止工业固体废物污染。</w:t>
            </w:r>
          </w:p>
          <w:p w14:paraId="6D166DC8">
            <w:pPr>
              <w:pStyle w:val="1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Chars="0" w:firstLine="480" w:firstLineChars="200"/>
              <w:textAlignment w:val="auto"/>
              <w:rPr>
                <w:rFonts w:hint="default" w:ascii="宋体" w:hAnsi="宋体" w:eastAsia="宋体" w:cs="宋体"/>
                <w:b w:val="0"/>
                <w:bCs/>
                <w:i w:val="0"/>
                <w:iCs w:val="0"/>
                <w:caps w:val="0"/>
                <w:color w:val="333333"/>
                <w:spacing w:val="0"/>
                <w:sz w:val="24"/>
                <w:szCs w:val="24"/>
                <w:highlight w:val="none"/>
                <w:shd w:val="clear" w:fill="FFFFFF"/>
                <w:lang w:val="en-US" w:eastAsia="zh-CN"/>
              </w:rPr>
            </w:pPr>
            <w:r>
              <w:rPr>
                <w:rFonts w:hint="default" w:ascii="宋体" w:hAnsi="宋体" w:eastAsia="宋体" w:cs="宋体"/>
                <w:b w:val="0"/>
                <w:bCs/>
                <w:i w:val="0"/>
                <w:iCs w:val="0"/>
                <w:caps w:val="0"/>
                <w:color w:val="333333"/>
                <w:spacing w:val="0"/>
                <w:sz w:val="24"/>
                <w:szCs w:val="24"/>
                <w:highlight w:val="none"/>
                <w:shd w:val="clear" w:fill="FFFFFF"/>
                <w:lang w:val="en-US" w:eastAsia="zh-CN"/>
              </w:rPr>
              <w:t>(三)规范转移管理。产废单位委托他人运输、利用、处置一般工业固体废物的，应当对受托方的主体资格和技术能力进行核实。 涉及转委托的，应按照民法典相关规定履行有关义务。跨省转移贮存、处置一般工业固体废物的，应依法履行申请批准程序。</w:t>
            </w:r>
          </w:p>
          <w:p w14:paraId="39DA1B0C">
            <w:pPr>
              <w:pStyle w:val="1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Chars="0" w:firstLine="480" w:firstLineChars="200"/>
              <w:textAlignment w:val="auto"/>
              <w:rPr>
                <w:rFonts w:hint="default" w:ascii="宋体" w:hAnsi="宋体" w:eastAsia="宋体" w:cs="宋体"/>
                <w:b w:val="0"/>
                <w:bCs/>
                <w:i w:val="0"/>
                <w:iCs w:val="0"/>
                <w:caps w:val="0"/>
                <w:color w:val="333333"/>
                <w:spacing w:val="0"/>
                <w:sz w:val="24"/>
                <w:szCs w:val="24"/>
                <w:highlight w:val="none"/>
                <w:shd w:val="clear" w:fill="FFFFFF"/>
                <w:lang w:val="en-US" w:eastAsia="zh-CN"/>
              </w:rPr>
            </w:pPr>
            <w:r>
              <w:rPr>
                <w:rFonts w:hint="default" w:ascii="宋体" w:hAnsi="宋体" w:eastAsia="宋体" w:cs="宋体"/>
                <w:b w:val="0"/>
                <w:bCs/>
                <w:i w:val="0"/>
                <w:iCs w:val="0"/>
                <w:caps w:val="0"/>
                <w:color w:val="333333"/>
                <w:spacing w:val="0"/>
                <w:sz w:val="24"/>
                <w:szCs w:val="24"/>
                <w:highlight w:val="none"/>
                <w:shd w:val="clear" w:fill="FFFFFF"/>
                <w:lang w:val="en-US" w:eastAsia="zh-CN"/>
              </w:rPr>
              <w:t>(四)加强利用处置管理。产废单位依法依规对一般工业固体废物加以利用，减少贮存量和填埋量。产废单位利用、处置一般工业固体废物的，应当遵守生态环境法律法规，符合有关环境保护标准规范要求。鼓励产废单位按照“科学论证、制定规范、主动公开、全程监督”等程序，积极开展一般工业固体废物规模化消纳利用。</w:t>
            </w:r>
          </w:p>
          <w:p w14:paraId="6403A897">
            <w:pPr>
              <w:pStyle w:val="1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Chars="0" w:firstLine="480" w:firstLineChars="200"/>
              <w:textAlignment w:val="auto"/>
              <w:rPr>
                <w:rFonts w:hint="default" w:ascii="宋体" w:hAnsi="宋体" w:eastAsia="宋体" w:cs="宋体"/>
                <w:b/>
                <w:bCs w:val="0"/>
                <w:i w:val="0"/>
                <w:iCs w:val="0"/>
                <w:caps w:val="0"/>
                <w:color w:val="333333"/>
                <w:spacing w:val="0"/>
                <w:sz w:val="24"/>
                <w:szCs w:val="24"/>
                <w:highlight w:val="none"/>
                <w:shd w:val="clear" w:fill="FFFFFF"/>
                <w:lang w:val="en-US" w:eastAsia="zh-CN"/>
              </w:rPr>
            </w:pPr>
            <w:r>
              <w:rPr>
                <w:rFonts w:hint="eastAsia" w:ascii="宋体" w:hAnsi="宋体" w:eastAsia="宋体" w:cs="宋体"/>
                <w:b w:val="0"/>
                <w:bCs/>
                <w:i w:val="0"/>
                <w:iCs w:val="0"/>
                <w:caps w:val="0"/>
                <w:color w:val="333333"/>
                <w:spacing w:val="0"/>
                <w:sz w:val="24"/>
                <w:szCs w:val="24"/>
                <w:highlight w:val="none"/>
                <w:shd w:val="clear" w:fill="FFFFFF"/>
                <w:lang w:val="en-US" w:eastAsia="zh-CN"/>
              </w:rPr>
              <w:t>符合性分析：本项目建成后本单位建立健全一般工业固体废物的产生、收集、贮存、运输、利用、处置的全过程污染环境防治责任制度，从源头减少固体废物的产生量，加强综合利用。建立一般固废台账，明确处置去向，不私自倾倒、丢弃、遗撒一般固废；本次环境影响评价文件已针对全厂工业固体废物。明确种类、名称、产量和处置方式等内容，现有工程排污许可执行报告已明确一般工业固体废物信息的填报。本项目淘汰的项目已在本次评价后进行拆除。本项目已按照要求进行固体废物的污染特性进行分类管理。本项目产生的固体废物委托他人运输、处置、利用，委托前对受托方的主体资格和能力进行核实。本项目处置一般工业固体废物，遵守生态环境的法律法规，符合环境保护标准的规范和要求，按照</w:t>
            </w:r>
            <w:r>
              <w:rPr>
                <w:rFonts w:hint="default" w:ascii="宋体" w:hAnsi="宋体" w:eastAsia="宋体" w:cs="宋体"/>
                <w:b w:val="0"/>
                <w:bCs/>
                <w:i w:val="0"/>
                <w:iCs w:val="0"/>
                <w:caps w:val="0"/>
                <w:color w:val="333333"/>
                <w:spacing w:val="0"/>
                <w:sz w:val="24"/>
                <w:szCs w:val="24"/>
                <w:highlight w:val="none"/>
                <w:shd w:val="clear" w:fill="FFFFFF"/>
                <w:lang w:val="en-US" w:eastAsia="zh-CN"/>
              </w:rPr>
              <w:t>“科学论证、制定规范、主动公开、全程监督”等程序，积极开展一般工业固体废物规模化消纳利用。</w:t>
            </w:r>
          </w:p>
          <w:p w14:paraId="5A65298B">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eastAsia" w:ascii="Times New Roman" w:hAnsi="Times New Roman" w:eastAsia="宋体" w:cs="宋体"/>
                <w:b/>
                <w:bCs w:val="0"/>
                <w:caps w:val="0"/>
                <w:spacing w:val="0"/>
                <w:sz w:val="24"/>
                <w:szCs w:val="24"/>
                <w:highlight w:val="none"/>
              </w:rPr>
            </w:pPr>
            <w:r>
              <w:rPr>
                <w:rFonts w:hint="eastAsia" w:ascii="Times New Roman" w:hAnsi="Times New Roman" w:eastAsia="宋体" w:cs="宋体"/>
                <w:b/>
                <w:bCs w:val="0"/>
                <w:caps w:val="0"/>
                <w:spacing w:val="0"/>
                <w:sz w:val="24"/>
                <w:szCs w:val="24"/>
                <w:highlight w:val="none"/>
                <w:lang w:val="en-US" w:eastAsia="zh-CN"/>
              </w:rPr>
              <w:t>2.</w:t>
            </w:r>
            <w:r>
              <w:rPr>
                <w:rFonts w:hint="eastAsia" w:ascii="Times New Roman" w:hAnsi="Times New Roman" w:cs="宋体"/>
                <w:b/>
                <w:bCs w:val="0"/>
                <w:caps w:val="0"/>
                <w:spacing w:val="0"/>
                <w:sz w:val="24"/>
                <w:szCs w:val="24"/>
                <w:highlight w:val="none"/>
                <w:lang w:val="en-US" w:eastAsia="zh-CN"/>
              </w:rPr>
              <w:t>11</w:t>
            </w:r>
            <w:r>
              <w:rPr>
                <w:rFonts w:hint="eastAsia" w:ascii="Times New Roman" w:hAnsi="Times New Roman" w:eastAsia="宋体" w:cs="宋体"/>
                <w:b/>
                <w:bCs w:val="0"/>
                <w:caps w:val="0"/>
                <w:spacing w:val="0"/>
                <w:sz w:val="24"/>
                <w:szCs w:val="24"/>
                <w:highlight w:val="none"/>
              </w:rPr>
              <w:t>产业政策符合性分析</w:t>
            </w:r>
          </w:p>
          <w:p w14:paraId="2BD6E970">
            <w:pP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bCs/>
                <w:caps w:val="0"/>
                <w:spacing w:val="0"/>
                <w:sz w:val="24"/>
                <w:szCs w:val="24"/>
                <w:highlight w:val="none"/>
              </w:rPr>
              <w:t>本项目为</w:t>
            </w:r>
            <w:r>
              <w:rPr>
                <w:rFonts w:hint="eastAsia" w:ascii="Times New Roman" w:hAnsi="Times New Roman" w:eastAsia="宋体" w:cs="宋体"/>
                <w:bCs/>
                <w:caps w:val="0"/>
                <w:spacing w:val="0"/>
                <w:sz w:val="24"/>
                <w:szCs w:val="24"/>
                <w:highlight w:val="none"/>
                <w:lang w:val="en-US" w:eastAsia="zh-CN"/>
              </w:rPr>
              <w:t>改造1台和扩建2台0.35MW燃油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lang w:val="en-US" w:eastAsia="zh-CN"/>
              </w:rPr>
              <w:t>两用一备</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bCs/>
                <w:caps w:val="0"/>
                <w:spacing w:val="0"/>
                <w:sz w:val="24"/>
                <w:szCs w:val="24"/>
                <w:highlight w:val="none"/>
                <w:lang w:val="en-US" w:eastAsia="zh-CN"/>
              </w:rPr>
              <w:t>项目</w:t>
            </w:r>
            <w:r>
              <w:rPr>
                <w:rFonts w:hint="eastAsia" w:ascii="Times New Roman" w:hAnsi="Times New Roman" w:eastAsia="宋体" w:cs="宋体"/>
                <w:caps w:val="0"/>
                <w:spacing w:val="0"/>
                <w:sz w:val="24"/>
                <w:szCs w:val="24"/>
                <w:highlight w:val="none"/>
              </w:rPr>
              <w:t>，根据《产业结构调整指导目录（</w:t>
            </w:r>
            <w:r>
              <w:rPr>
                <w:rFonts w:hint="eastAsia" w:ascii="Times New Roman" w:hAnsi="Times New Roman" w:eastAsia="宋体" w:cs="宋体"/>
                <w:caps w:val="0"/>
                <w:spacing w:val="0"/>
                <w:sz w:val="24"/>
                <w:szCs w:val="24"/>
                <w:highlight w:val="none"/>
                <w:lang w:val="en-US" w:eastAsia="zh-CN"/>
              </w:rPr>
              <w:t>2024</w:t>
            </w:r>
            <w:r>
              <w:rPr>
                <w:rFonts w:hint="eastAsia" w:ascii="Times New Roman" w:hAnsi="Times New Roman" w:eastAsia="宋体" w:cs="宋体"/>
                <w:caps w:val="0"/>
                <w:spacing w:val="0"/>
                <w:sz w:val="24"/>
                <w:szCs w:val="24"/>
                <w:highlight w:val="none"/>
              </w:rPr>
              <w:t>年本）》，本项目不属于鼓励类、淘汰类和限制类，</w:t>
            </w:r>
            <w:r>
              <w:rPr>
                <w:rFonts w:hint="eastAsia" w:ascii="Times New Roman" w:hAnsi="Times New Roman" w:eastAsia="宋体" w:cs="宋体"/>
                <w:caps w:val="0"/>
                <w:spacing w:val="0"/>
                <w:sz w:val="24"/>
                <w:szCs w:val="24"/>
                <w:highlight w:val="none"/>
                <w:lang w:val="en-US" w:eastAsia="zh-CN"/>
              </w:rPr>
              <w:t>目录中明确：“</w:t>
            </w:r>
            <w:r>
              <w:rPr>
                <w:rFonts w:hint="eastAsia" w:ascii="Times New Roman" w:hAnsi="Times New Roman" w:eastAsia="宋体" w:cs="宋体"/>
                <w:caps w:val="0"/>
                <w:spacing w:val="0"/>
                <w:sz w:val="24"/>
                <w:szCs w:val="24"/>
                <w:highlight w:val="none"/>
              </w:rPr>
              <w:t>鼓励类、限制类和淘汰类之外的，且符合国家有关法律、法规</w:t>
            </w:r>
            <w:r>
              <w:rPr>
                <w:rFonts w:hint="eastAsia" w:ascii="Times New Roman" w:hAnsi="Times New Roman" w:eastAsia="宋体" w:cs="宋体"/>
                <w:caps w:val="0"/>
                <w:spacing w:val="0"/>
                <w:sz w:val="24"/>
                <w:szCs w:val="24"/>
                <w:highlight w:val="none"/>
                <w:lang w:val="en-US" w:eastAsia="zh-CN"/>
              </w:rPr>
              <w:t>和</w:t>
            </w:r>
            <w:r>
              <w:rPr>
                <w:rFonts w:hint="eastAsia" w:ascii="Times New Roman" w:hAnsi="Times New Roman" w:eastAsia="宋体" w:cs="宋体"/>
                <w:caps w:val="0"/>
                <w:spacing w:val="0"/>
                <w:sz w:val="24"/>
                <w:szCs w:val="24"/>
                <w:highlight w:val="none"/>
              </w:rPr>
              <w:t>政策规定的属于允许类</w:t>
            </w:r>
            <w:r>
              <w:rPr>
                <w:rFonts w:hint="eastAsia" w:ascii="Times New Roman" w:hAnsi="Times New Roman" w:eastAsia="宋体" w:cs="宋体"/>
                <w:caps w:val="0"/>
                <w:spacing w:val="0"/>
                <w:sz w:val="24"/>
                <w:szCs w:val="24"/>
                <w:highlight w:val="none"/>
                <w:lang w:val="en-US" w:eastAsia="zh-CN"/>
              </w:rPr>
              <w:t>”</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lang w:val="en-US" w:eastAsia="zh-CN"/>
              </w:rPr>
              <w:t>本项目为允许类项目，</w:t>
            </w:r>
            <w:r>
              <w:rPr>
                <w:rFonts w:hint="eastAsia" w:ascii="Times New Roman" w:hAnsi="Times New Roman" w:eastAsia="宋体" w:cs="宋体"/>
                <w:caps w:val="0"/>
                <w:spacing w:val="0"/>
                <w:sz w:val="24"/>
                <w:szCs w:val="24"/>
                <w:highlight w:val="none"/>
              </w:rPr>
              <w:t>符合国家产业政策的要求。</w:t>
            </w:r>
          </w:p>
          <w:p w14:paraId="3278784D">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eastAsia" w:ascii="Times New Roman" w:hAnsi="Times New Roman" w:eastAsia="宋体" w:cs="宋体"/>
                <w:b/>
                <w:bCs w:val="0"/>
                <w:caps w:val="0"/>
                <w:spacing w:val="0"/>
                <w:sz w:val="24"/>
                <w:szCs w:val="24"/>
                <w:highlight w:val="none"/>
              </w:rPr>
            </w:pPr>
            <w:r>
              <w:rPr>
                <w:rFonts w:hint="eastAsia" w:ascii="Times New Roman" w:hAnsi="Times New Roman" w:eastAsia="宋体" w:cs="宋体"/>
                <w:b/>
                <w:bCs w:val="0"/>
                <w:caps w:val="0"/>
                <w:spacing w:val="0"/>
                <w:sz w:val="24"/>
                <w:szCs w:val="24"/>
                <w:highlight w:val="none"/>
                <w:lang w:val="en-US" w:eastAsia="zh-CN"/>
              </w:rPr>
              <w:t>2.1</w:t>
            </w:r>
            <w:r>
              <w:rPr>
                <w:rFonts w:hint="eastAsia" w:ascii="Times New Roman" w:hAnsi="Times New Roman" w:cs="宋体"/>
                <w:b/>
                <w:bCs w:val="0"/>
                <w:caps w:val="0"/>
                <w:spacing w:val="0"/>
                <w:sz w:val="24"/>
                <w:szCs w:val="24"/>
                <w:highlight w:val="none"/>
                <w:lang w:val="en-US" w:eastAsia="zh-CN"/>
              </w:rPr>
              <w:t>2</w:t>
            </w:r>
            <w:r>
              <w:rPr>
                <w:rFonts w:hint="eastAsia" w:ascii="Times New Roman" w:hAnsi="Times New Roman" w:eastAsia="宋体" w:cs="宋体"/>
                <w:b/>
                <w:bCs w:val="0"/>
                <w:caps w:val="0"/>
                <w:spacing w:val="0"/>
                <w:sz w:val="24"/>
                <w:szCs w:val="24"/>
                <w:highlight w:val="none"/>
              </w:rPr>
              <w:t>选址合理性分析</w:t>
            </w:r>
          </w:p>
          <w:p w14:paraId="1CE5BD28">
            <w:pPr>
              <w:pStyle w:val="5"/>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Times New Roman" w:hAnsi="Times New Roman" w:eastAsia="宋体" w:cs="宋体"/>
                <w:bCs/>
                <w:caps w:val="0"/>
                <w:spacing w:val="0"/>
                <w:kern w:val="2"/>
                <w:sz w:val="24"/>
                <w:szCs w:val="24"/>
                <w:highlight w:val="none"/>
                <w:lang w:val="en-US" w:eastAsia="zh-CN" w:bidi="ar-SA"/>
              </w:rPr>
            </w:pPr>
            <w:r>
              <w:rPr>
                <w:rFonts w:hint="eastAsia" w:ascii="Times New Roman" w:hAnsi="Times New Roman" w:eastAsia="宋体" w:cs="宋体"/>
                <w:caps w:val="0"/>
                <w:spacing w:val="0"/>
                <w:sz w:val="24"/>
                <w:szCs w:val="28"/>
                <w:highlight w:val="none"/>
              </w:rPr>
              <w:t>（</w:t>
            </w:r>
            <w:r>
              <w:rPr>
                <w:rFonts w:hint="eastAsia" w:ascii="Times New Roman" w:hAnsi="Times New Roman" w:eastAsia="宋体" w:cs="宋体"/>
                <w:bCs/>
                <w:caps w:val="0"/>
                <w:spacing w:val="0"/>
                <w:kern w:val="2"/>
                <w:sz w:val="24"/>
                <w:szCs w:val="24"/>
                <w:highlight w:val="none"/>
                <w:lang w:val="en-US" w:eastAsia="zh-CN" w:bidi="ar-SA"/>
              </w:rPr>
              <w:t>1）用地相符性</w:t>
            </w:r>
          </w:p>
          <w:p w14:paraId="58266D10">
            <w:pPr>
              <w:pStyle w:val="5"/>
              <w:keepNext w:val="0"/>
              <w:keepLines w:val="0"/>
              <w:pageBreakBefore w:val="0"/>
              <w:widowControl/>
              <w:shd w:val="clear"/>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宋体" w:hAnsi="宋体" w:eastAsia="宋体" w:cs="宋体"/>
                <w:bCs/>
                <w:color w:val="auto"/>
                <w:spacing w:val="0"/>
                <w:kern w:val="2"/>
                <w:sz w:val="24"/>
                <w:szCs w:val="24"/>
                <w:highlight w:val="none"/>
                <w:lang w:val="en-US" w:eastAsia="zh-CN" w:bidi="ar-SA"/>
              </w:rPr>
            </w:pPr>
            <w:r>
              <w:rPr>
                <w:rFonts w:hint="eastAsia" w:ascii="宋体" w:hAnsi="宋体" w:eastAsia="宋体" w:cs="宋体"/>
                <w:bCs/>
                <w:color w:val="auto"/>
                <w:spacing w:val="0"/>
                <w:kern w:val="2"/>
                <w:sz w:val="24"/>
                <w:szCs w:val="24"/>
                <w:highlight w:val="none"/>
                <w:lang w:val="en-US" w:eastAsia="zh-CN" w:bidi="ar-SA"/>
              </w:rPr>
              <w:t>按照国务院批准的《产业结构调整指导目录（2024年本）》，凡采用明令淘汰的落后工艺技术、装备或者生产明令淘汰产品的建设项目，各级国土资源管理部门和投资管理部门一律不得办理相关手续。</w:t>
            </w:r>
          </w:p>
          <w:p w14:paraId="7A42A9FA">
            <w:pPr>
              <w:pStyle w:val="5"/>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Times New Roman" w:hAnsi="Times New Roman" w:eastAsia="宋体" w:cs="宋体"/>
                <w:bCs/>
                <w:caps w:val="0"/>
                <w:spacing w:val="0"/>
                <w:kern w:val="2"/>
                <w:sz w:val="24"/>
                <w:szCs w:val="24"/>
                <w:highlight w:val="none"/>
                <w:lang w:val="en-US" w:eastAsia="zh-CN" w:bidi="ar-SA"/>
              </w:rPr>
            </w:pPr>
            <w:r>
              <w:rPr>
                <w:rFonts w:hint="eastAsia" w:ascii="宋体" w:hAnsi="宋体" w:cs="宋体"/>
                <w:bCs/>
                <w:i w:val="0"/>
                <w:iCs w:val="0"/>
                <w:color w:val="auto"/>
                <w:spacing w:val="0"/>
                <w:kern w:val="2"/>
                <w:sz w:val="24"/>
                <w:szCs w:val="24"/>
                <w:highlight w:val="none"/>
                <w:lang w:val="en-US" w:eastAsia="zh-CN" w:bidi="ar-SA"/>
              </w:rPr>
              <w:t>根据《自然资源要素支撑产业高质量发展指导目录（2024年本）》（十）列入《产业结构调整指导目录（2024年本）》限制类的新建项目和淘汰类项目，直接纳入本目录禁止类，自然资源、投资管理和林草主管部门一律不得办理相关手续。本项目不属于限制类、淘汰类建设项目。</w:t>
            </w:r>
          </w:p>
          <w:p w14:paraId="46D4F90F">
            <w:pPr>
              <w:pStyle w:val="5"/>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Times New Roman" w:hAnsi="Times New Roman" w:eastAsia="宋体" w:cs="宋体"/>
                <w:bCs/>
                <w:caps w:val="0"/>
                <w:spacing w:val="0"/>
                <w:kern w:val="2"/>
                <w:sz w:val="24"/>
                <w:szCs w:val="24"/>
                <w:highlight w:val="none"/>
                <w:lang w:val="en-US" w:eastAsia="zh-CN" w:bidi="ar-SA"/>
              </w:rPr>
            </w:pPr>
            <w:r>
              <w:rPr>
                <w:rFonts w:hint="eastAsia" w:ascii="Times New Roman" w:hAnsi="Times New Roman" w:eastAsia="宋体" w:cs="宋体"/>
                <w:bCs/>
                <w:caps w:val="0"/>
                <w:spacing w:val="0"/>
                <w:kern w:val="2"/>
                <w:sz w:val="24"/>
                <w:szCs w:val="24"/>
                <w:highlight w:val="none"/>
                <w:lang w:val="en-US" w:eastAsia="zh-CN" w:bidi="ar-SA"/>
              </w:rPr>
              <w:t>本项目建设地点位于</w:t>
            </w:r>
            <w:r>
              <w:rPr>
                <w:rFonts w:hint="eastAsia" w:cs="宋体"/>
                <w:bCs/>
                <w:caps w:val="0"/>
                <w:spacing w:val="0"/>
                <w:kern w:val="2"/>
                <w:sz w:val="24"/>
                <w:szCs w:val="24"/>
                <w:highlight w:val="none"/>
                <w:lang w:val="en-US" w:eastAsia="zh-CN" w:bidi="ar-SA"/>
              </w:rPr>
              <w:t>黑龙江省鸡西市梨树区穆棱矿区双建委</w:t>
            </w:r>
            <w:r>
              <w:rPr>
                <w:rFonts w:hint="eastAsia" w:ascii="Times New Roman" w:hAnsi="Times New Roman" w:eastAsia="宋体" w:cs="宋体"/>
                <w:bCs/>
                <w:caps w:val="0"/>
                <w:spacing w:val="0"/>
                <w:kern w:val="2"/>
                <w:sz w:val="24"/>
                <w:szCs w:val="24"/>
                <w:highlight w:val="none"/>
                <w:lang w:val="en-US" w:eastAsia="zh-CN" w:bidi="ar-SA"/>
              </w:rPr>
              <w:t>（鸡西市燎盛新材料科技有限公司院内）</w:t>
            </w:r>
            <w:r>
              <w:rPr>
                <w:rFonts w:hint="eastAsia" w:cs="宋体"/>
                <w:bCs/>
                <w:caps w:val="0"/>
                <w:spacing w:val="0"/>
                <w:kern w:val="2"/>
                <w:sz w:val="24"/>
                <w:szCs w:val="24"/>
                <w:highlight w:val="none"/>
                <w:lang w:val="en-US" w:eastAsia="zh-CN" w:bidi="ar-SA"/>
              </w:rPr>
              <w:t>，</w:t>
            </w:r>
            <w:r>
              <w:rPr>
                <w:rFonts w:hint="eastAsia" w:ascii="Times New Roman" w:hAnsi="Times New Roman" w:eastAsia="宋体" w:cs="宋体"/>
                <w:caps w:val="0"/>
                <w:color w:val="auto"/>
                <w:sz w:val="24"/>
                <w:highlight w:val="none"/>
                <w:lang w:val="en-US" w:eastAsia="zh-CN"/>
              </w:rPr>
              <w:t>不新增用地面积。</w:t>
            </w:r>
            <w:r>
              <w:rPr>
                <w:rFonts w:hint="eastAsia" w:cs="宋体"/>
                <w:caps w:val="0"/>
                <w:color w:val="auto"/>
                <w:sz w:val="24"/>
                <w:highlight w:val="none"/>
                <w:lang w:val="en-US" w:eastAsia="zh-CN"/>
              </w:rPr>
              <w:t>厂区东侧为闲置空地，南侧为闲置厂房，西侧为废弃学校，北侧为闲置厂房。</w:t>
            </w:r>
            <w:r>
              <w:rPr>
                <w:rFonts w:hint="eastAsia" w:ascii="Times New Roman" w:hAnsi="Times New Roman" w:eastAsia="宋体" w:cs="宋体"/>
                <w:bCs/>
                <w:caps w:val="0"/>
                <w:spacing w:val="0"/>
                <w:kern w:val="2"/>
                <w:sz w:val="24"/>
                <w:szCs w:val="24"/>
                <w:highlight w:val="none"/>
                <w:lang w:val="en-US" w:eastAsia="zh-CN" w:bidi="ar-SA"/>
              </w:rPr>
              <w:t>根据《产业结构调整指导目录（2024年本）》，本项目不属于鼓励类、限制类、淘汰类建设项目，属于允许类项目；本项目建设土地类型为工业用地。符合土地政策要求。</w:t>
            </w:r>
          </w:p>
          <w:p w14:paraId="5EA7A730">
            <w:pPr>
              <w:pStyle w:val="5"/>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Times New Roman" w:hAnsi="Times New Roman" w:eastAsia="宋体" w:cs="宋体"/>
                <w:bCs/>
                <w:caps w:val="0"/>
                <w:spacing w:val="0"/>
                <w:kern w:val="2"/>
                <w:sz w:val="24"/>
                <w:szCs w:val="24"/>
                <w:highlight w:val="none"/>
                <w:lang w:val="en-US" w:eastAsia="zh-CN" w:bidi="ar-SA"/>
              </w:rPr>
            </w:pPr>
            <w:r>
              <w:rPr>
                <w:rFonts w:hint="eastAsia" w:ascii="Times New Roman" w:hAnsi="Times New Roman" w:eastAsia="宋体" w:cs="宋体"/>
                <w:bCs/>
                <w:caps w:val="0"/>
                <w:spacing w:val="0"/>
                <w:kern w:val="2"/>
                <w:sz w:val="24"/>
                <w:szCs w:val="24"/>
                <w:highlight w:val="none"/>
                <w:lang w:val="en-US" w:eastAsia="zh-CN" w:bidi="ar-SA"/>
              </w:rPr>
              <w:t>（2）环境相容性</w:t>
            </w:r>
          </w:p>
          <w:p w14:paraId="01671268">
            <w:pPr>
              <w:pStyle w:val="5"/>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Times New Roman" w:hAnsi="Times New Roman" w:eastAsia="宋体" w:cs="宋体"/>
                <w:bCs/>
                <w:caps w:val="0"/>
                <w:spacing w:val="0"/>
                <w:kern w:val="2"/>
                <w:sz w:val="24"/>
                <w:szCs w:val="24"/>
                <w:highlight w:val="none"/>
                <w:lang w:val="en-US" w:eastAsia="zh-CN" w:bidi="ar-SA"/>
              </w:rPr>
            </w:pPr>
            <w:r>
              <w:rPr>
                <w:rFonts w:hint="eastAsia" w:ascii="Times New Roman" w:hAnsi="Times New Roman" w:eastAsia="宋体" w:cs="宋体"/>
                <w:bCs/>
                <w:caps w:val="0"/>
                <w:spacing w:val="0"/>
                <w:kern w:val="2"/>
                <w:sz w:val="24"/>
                <w:szCs w:val="24"/>
                <w:highlight w:val="none"/>
                <w:lang w:val="en-US" w:eastAsia="zh-CN" w:bidi="ar-SA"/>
              </w:rPr>
              <w:t>项目运营期产生的废气主要作为</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szCs w:val="24"/>
                <w:highlight w:val="none"/>
                <w:lang w:val="en-US" w:eastAsia="zh-CN"/>
              </w:rPr>
              <w:t>产生</w:t>
            </w:r>
            <w:r>
              <w:rPr>
                <w:rFonts w:hint="eastAsia" w:ascii="Times New Roman" w:hAnsi="Times New Roman" w:eastAsia="宋体" w:cs="宋体"/>
                <w:caps w:val="0"/>
                <w:spacing w:val="0"/>
                <w:sz w:val="24"/>
                <w:highlight w:val="none"/>
                <w:lang w:val="en-US" w:eastAsia="zh-CN"/>
              </w:rPr>
              <w:t>颗粒物、二氧化硫、氮氧化物、烟气黑度</w:t>
            </w:r>
            <w:r>
              <w:rPr>
                <w:rFonts w:hint="eastAsia" w:cs="宋体"/>
                <w:caps w:val="0"/>
                <w:spacing w:val="0"/>
                <w:sz w:val="24"/>
                <w:highlight w:val="none"/>
                <w:lang w:val="en-US" w:eastAsia="zh-CN"/>
              </w:rPr>
              <w:t>以及燃料储罐产生的大小呼吸废气</w:t>
            </w:r>
            <w:r>
              <w:rPr>
                <w:rFonts w:hint="eastAsia" w:ascii="Times New Roman" w:hAnsi="Times New Roman" w:eastAsia="宋体" w:cs="宋体"/>
                <w:caps w:val="0"/>
                <w:spacing w:val="0"/>
                <w:sz w:val="24"/>
                <w:szCs w:val="24"/>
                <w:highlight w:val="none"/>
                <w:lang w:val="en-US" w:eastAsia="zh-CN"/>
              </w:rPr>
              <w:t>。</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szCs w:val="24"/>
                <w:highlight w:val="none"/>
                <w:lang w:val="en-US" w:eastAsia="zh-CN"/>
              </w:rPr>
              <w:t>废气经由2根20m</w:t>
            </w:r>
            <w:r>
              <w:rPr>
                <w:rFonts w:hint="eastAsia" w:ascii="Times New Roman" w:hAnsi="Times New Roman" w:eastAsia="宋体" w:cs="宋体"/>
                <w:caps w:val="0"/>
                <w:spacing w:val="0"/>
                <w:sz w:val="24"/>
                <w:szCs w:val="24"/>
                <w:highlight w:val="none"/>
                <w:lang w:eastAsia="zh-CN"/>
              </w:rPr>
              <w:t>高</w:t>
            </w:r>
            <w:r>
              <w:rPr>
                <w:rFonts w:hint="eastAsia" w:ascii="Times New Roman" w:hAnsi="Times New Roman" w:eastAsia="宋体" w:cs="宋体"/>
                <w:caps w:val="0"/>
                <w:spacing w:val="0"/>
                <w:sz w:val="24"/>
                <w:szCs w:val="24"/>
                <w:highlight w:val="none"/>
                <w:lang w:val="en-US" w:eastAsia="zh-CN"/>
              </w:rPr>
              <w:t>烟囱DA003、DA004有组织</w:t>
            </w:r>
            <w:r>
              <w:rPr>
                <w:rFonts w:hint="eastAsia" w:ascii="Times New Roman" w:hAnsi="Times New Roman" w:eastAsia="宋体" w:cs="宋体"/>
                <w:caps w:val="0"/>
                <w:spacing w:val="0"/>
                <w:sz w:val="24"/>
                <w:szCs w:val="24"/>
                <w:highlight w:val="none"/>
              </w:rPr>
              <w:t>排放</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lang w:val="en-US" w:eastAsia="zh-CN"/>
              </w:rPr>
              <w:t>废气排放满足</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锅炉大气污染物排放标准</w:t>
            </w:r>
            <w:r>
              <w:rPr>
                <w:rFonts w:hint="eastAsia" w:ascii="Times New Roman" w:hAnsi="Times New Roman" w:eastAsia="宋体" w:cs="宋体"/>
                <w:caps w:val="0"/>
                <w:spacing w:val="0"/>
                <w:sz w:val="24"/>
                <w:highlight w:val="none"/>
              </w:rPr>
              <w:t>》（GB</w:t>
            </w:r>
            <w:r>
              <w:rPr>
                <w:rFonts w:hint="eastAsia" w:ascii="Times New Roman" w:hAnsi="Times New Roman" w:eastAsia="宋体" w:cs="宋体"/>
                <w:caps w:val="0"/>
                <w:spacing w:val="0"/>
                <w:sz w:val="24"/>
                <w:highlight w:val="none"/>
                <w:lang w:val="en-US" w:eastAsia="zh-CN"/>
              </w:rPr>
              <w:t>13271</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2014</w:t>
            </w:r>
            <w:r>
              <w:rPr>
                <w:rFonts w:hint="eastAsia" w:ascii="Times New Roman" w:hAnsi="Times New Roman" w:eastAsia="宋体" w:cs="宋体"/>
                <w:caps w:val="0"/>
                <w:spacing w:val="0"/>
                <w:sz w:val="24"/>
                <w:highlight w:val="none"/>
              </w:rPr>
              <w:t>）表</w:t>
            </w:r>
            <w:r>
              <w:rPr>
                <w:rFonts w:hint="eastAsia" w:ascii="Times New Roman" w:hAnsi="Times New Roman" w:eastAsia="宋体" w:cs="宋体"/>
                <w:caps w:val="0"/>
                <w:spacing w:val="0"/>
                <w:sz w:val="24"/>
                <w:highlight w:val="none"/>
                <w:lang w:val="en-US" w:eastAsia="zh-CN"/>
              </w:rPr>
              <w:t>2</w:t>
            </w:r>
            <w:r>
              <w:rPr>
                <w:rFonts w:hint="eastAsia" w:ascii="Times New Roman" w:hAnsi="Times New Roman" w:eastAsia="宋体" w:cs="宋体"/>
                <w:caps w:val="0"/>
                <w:spacing w:val="0"/>
                <w:sz w:val="24"/>
                <w:highlight w:val="none"/>
              </w:rPr>
              <w:t>中</w:t>
            </w:r>
            <w:r>
              <w:rPr>
                <w:rFonts w:hint="eastAsia" w:ascii="Times New Roman" w:hAnsi="Times New Roman" w:eastAsia="宋体" w:cs="宋体"/>
                <w:caps w:val="0"/>
                <w:spacing w:val="0"/>
                <w:sz w:val="24"/>
                <w:highlight w:val="none"/>
                <w:lang w:val="en-US" w:eastAsia="zh-CN"/>
              </w:rPr>
              <w:t>排放限值，</w:t>
            </w:r>
            <w:r>
              <w:rPr>
                <w:rFonts w:hint="eastAsia" w:ascii="Times New Roman" w:hAnsi="Times New Roman" w:eastAsia="宋体" w:cs="宋体"/>
                <w:bCs/>
                <w:caps w:val="0"/>
                <w:spacing w:val="0"/>
                <w:kern w:val="2"/>
                <w:sz w:val="24"/>
                <w:szCs w:val="24"/>
                <w:highlight w:val="none"/>
                <w:lang w:val="en-US" w:eastAsia="zh-CN" w:bidi="ar-SA"/>
              </w:rPr>
              <w:t>对大气环境造成影响较小；</w:t>
            </w:r>
            <w:r>
              <w:rPr>
                <w:rFonts w:hint="eastAsia" w:cs="宋体"/>
                <w:bCs/>
                <w:caps w:val="0"/>
                <w:spacing w:val="0"/>
                <w:kern w:val="2"/>
                <w:sz w:val="24"/>
                <w:szCs w:val="24"/>
                <w:highlight w:val="none"/>
                <w:lang w:val="en-US" w:eastAsia="zh-CN" w:bidi="ar-SA"/>
              </w:rPr>
              <w:t>燃料储罐大小呼吸废气经呼吸口无组织排放，无组织排放非甲烷总烃产生量较小，不会对大气环境产生明显影响。</w:t>
            </w:r>
            <w:r>
              <w:rPr>
                <w:rFonts w:hint="eastAsia" w:ascii="Times New Roman" w:hAnsi="Times New Roman" w:eastAsia="宋体" w:cs="宋体"/>
                <w:bCs/>
                <w:caps w:val="0"/>
                <w:spacing w:val="0"/>
                <w:kern w:val="2"/>
                <w:sz w:val="24"/>
                <w:szCs w:val="24"/>
                <w:highlight w:val="none"/>
                <w:lang w:val="en-US" w:eastAsia="zh-CN" w:bidi="ar-SA"/>
              </w:rPr>
              <w:t>本项目噪声主要来自</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bCs/>
                <w:caps w:val="0"/>
                <w:spacing w:val="0"/>
                <w:kern w:val="2"/>
                <w:sz w:val="24"/>
                <w:szCs w:val="24"/>
                <w:highlight w:val="none"/>
                <w:lang w:val="en-US" w:eastAsia="zh-CN" w:bidi="ar-SA"/>
              </w:rPr>
              <w:t>运转过程产生的噪声，通过基础减振、厂房隔声措施，能够满足《工业企业厂界环境噪声排放标准》（GB12348-2008）2类，对周围声环境质量影响较小；</w:t>
            </w:r>
            <w:r>
              <w:rPr>
                <w:rFonts w:hint="eastAsia" w:cs="宋体"/>
                <w:bCs/>
                <w:caps w:val="0"/>
                <w:spacing w:val="0"/>
                <w:kern w:val="2"/>
                <w:sz w:val="24"/>
                <w:szCs w:val="24"/>
                <w:highlight w:val="none"/>
                <w:lang w:val="en-US" w:eastAsia="zh-CN" w:bidi="ar-SA"/>
              </w:rPr>
              <w:t>固体废物主要为</w:t>
            </w:r>
            <w:r>
              <w:rPr>
                <w:rFonts w:hint="eastAsia" w:ascii="Times New Roman" w:hAnsi="Times New Roman" w:eastAsia="宋体" w:cs="宋体"/>
                <w:caps w:val="0"/>
                <w:spacing w:val="0"/>
                <w:sz w:val="24"/>
                <w:szCs w:val="24"/>
                <w:highlight w:val="none"/>
                <w:lang w:val="en-US" w:eastAsia="zh-CN"/>
              </w:rPr>
              <w:t>为废导热油、废布袋、布袋除尘器集尘、废机油、废油桶、含油棉纱</w:t>
            </w:r>
            <w:r>
              <w:rPr>
                <w:rFonts w:hint="eastAsia" w:cs="宋体"/>
                <w:caps w:val="0"/>
                <w:spacing w:val="0"/>
                <w:sz w:val="24"/>
                <w:szCs w:val="24"/>
                <w:highlight w:val="none"/>
                <w:lang w:val="en-US" w:eastAsia="zh-CN"/>
              </w:rPr>
              <w:t>。布袋除尘器集尘外售综合利用，废布袋交厂家回收处理，危险废物包括废机油、废机油桶、含油棉纱、废导热油，产生危险废物暂存危废贮存点定期委托有资质单位进行处置。固体废物处置满足</w:t>
            </w:r>
            <w:r>
              <w:rPr>
                <w:rFonts w:hint="eastAsia" w:ascii="Times New Roman" w:hAnsi="Times New Roman" w:eastAsia="宋体" w:cs="宋体"/>
                <w:bCs/>
                <w:caps w:val="0"/>
                <w:color w:val="auto"/>
                <w:spacing w:val="0"/>
                <w:kern w:val="2"/>
                <w:sz w:val="24"/>
                <w:szCs w:val="24"/>
                <w:highlight w:val="none"/>
                <w:lang w:val="en-US" w:eastAsia="zh-CN" w:bidi="ar-SA"/>
              </w:rPr>
              <w:t>《一般工业固体废物贮存和填埋污染控制标准》（GB18599-2020）标准</w:t>
            </w:r>
            <w:r>
              <w:rPr>
                <w:rFonts w:hint="eastAsia" w:cs="宋体"/>
                <w:bCs/>
                <w:caps w:val="0"/>
                <w:color w:val="auto"/>
                <w:spacing w:val="0"/>
                <w:kern w:val="2"/>
                <w:sz w:val="24"/>
                <w:szCs w:val="24"/>
                <w:highlight w:val="none"/>
                <w:lang w:val="en-US" w:eastAsia="zh-CN" w:bidi="ar-SA"/>
              </w:rPr>
              <w:t>和</w:t>
            </w:r>
            <w:r>
              <w:rPr>
                <w:rFonts w:hint="eastAsia" w:ascii="Times New Roman" w:hAnsi="Times New Roman" w:eastAsia="宋体" w:cs="宋体"/>
                <w:bCs/>
                <w:caps w:val="0"/>
                <w:color w:val="auto"/>
                <w:spacing w:val="0"/>
                <w:kern w:val="2"/>
                <w:sz w:val="24"/>
                <w:szCs w:val="24"/>
                <w:highlight w:val="none"/>
                <w:lang w:val="en-US" w:eastAsia="zh-CN" w:bidi="ar-SA"/>
              </w:rPr>
              <w:t>《危险废物贮存污染控制标准》（GB18597-2023）</w:t>
            </w:r>
            <w:r>
              <w:rPr>
                <w:rFonts w:hint="eastAsia" w:cs="宋体"/>
                <w:bCs/>
                <w:caps w:val="0"/>
                <w:color w:val="auto"/>
                <w:spacing w:val="0"/>
                <w:kern w:val="2"/>
                <w:sz w:val="24"/>
                <w:szCs w:val="24"/>
                <w:highlight w:val="none"/>
                <w:lang w:val="en-US" w:eastAsia="zh-CN" w:bidi="ar-SA"/>
              </w:rPr>
              <w:t>标准要求。</w:t>
            </w:r>
            <w:r>
              <w:rPr>
                <w:rFonts w:hint="eastAsia" w:ascii="Times New Roman" w:hAnsi="Times New Roman" w:eastAsia="宋体" w:cs="宋体"/>
                <w:bCs/>
                <w:caps w:val="0"/>
                <w:spacing w:val="0"/>
                <w:kern w:val="2"/>
                <w:sz w:val="24"/>
                <w:szCs w:val="24"/>
                <w:highlight w:val="none"/>
                <w:lang w:val="en-US" w:eastAsia="zh-CN" w:bidi="ar-SA"/>
              </w:rPr>
              <w:t>项目建成后对周边环境的影响主要是废气、固体废物以及噪声，采取污染防治措施后对周边环境影响较小。</w:t>
            </w:r>
          </w:p>
          <w:p w14:paraId="10C54CB9">
            <w:pPr>
              <w:widowControl/>
              <w:spacing w:line="360" w:lineRule="auto"/>
              <w:ind w:firstLine="480" w:firstLineChars="200"/>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项目建设过程中产生的废气、噪声、固废对周围环境将产生一定影响，但通过采取相应的环保措施可使该项目对环境的影响降低，项目的建设不会使环境功能发生改变。</w:t>
            </w:r>
          </w:p>
          <w:p w14:paraId="6C4E5B6D">
            <w:pPr>
              <w:ind w:left="0" w:leftChars="0" w:firstLine="480" w:firstLineChars="200"/>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highlight w:val="none"/>
              </w:rPr>
              <w:t>综上所述，项目选址可行。</w:t>
            </w:r>
          </w:p>
        </w:tc>
      </w:tr>
    </w:tbl>
    <w:p w14:paraId="138E76B3">
      <w:pPr>
        <w:rPr>
          <w:rFonts w:hint="eastAsia" w:ascii="Times New Roman" w:hAnsi="Times New Roman" w:eastAsia="宋体" w:cs="宋体"/>
          <w:caps w:val="0"/>
          <w:color w:val="FF0000"/>
          <w:spacing w:val="0"/>
          <w:highlight w:val="none"/>
        </w:rPr>
        <w:sectPr>
          <w:footerReference r:id="rId11"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start="1"/>
          <w:cols w:space="720" w:num="1"/>
          <w:docGrid w:linePitch="312" w:charSpace="0"/>
        </w:sectPr>
      </w:pPr>
    </w:p>
    <w:p w14:paraId="0DCCBE82">
      <w:pPr>
        <w:pStyle w:val="7"/>
        <w:spacing w:line="360" w:lineRule="auto"/>
        <w:jc w:val="both"/>
        <w:rPr>
          <w:rFonts w:hint="eastAsia" w:ascii="Times New Roman" w:hAnsi="Times New Roman" w:eastAsia="宋体" w:cs="宋体"/>
          <w:bCs w:val="0"/>
          <w:caps w:val="0"/>
          <w:spacing w:val="0"/>
          <w:highlight w:val="none"/>
        </w:rPr>
      </w:pPr>
      <w:bookmarkStart w:id="5" w:name="_Toc71191476"/>
      <w:bookmarkStart w:id="6" w:name="_Toc14643"/>
      <w:r>
        <w:rPr>
          <w:rFonts w:hint="eastAsia" w:ascii="Times New Roman" w:hAnsi="Times New Roman" w:eastAsia="宋体" w:cs="宋体"/>
          <w:bCs w:val="0"/>
          <w:caps w:val="0"/>
          <w:spacing w:val="0"/>
          <w:highlight w:val="none"/>
        </w:rPr>
        <w:t>二、建设项目工程分析</w:t>
      </w:r>
      <w:bookmarkEnd w:id="5"/>
      <w:bookmarkEnd w:id="6"/>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5"/>
        <w:gridCol w:w="7987"/>
      </w:tblGrid>
      <w:tr w14:paraId="681241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535" w:type="dxa"/>
            <w:noWrap w:val="0"/>
            <w:vAlign w:val="center"/>
          </w:tcPr>
          <w:p w14:paraId="0A3747F2">
            <w:pPr>
              <w:pStyle w:val="32"/>
              <w:ind w:firstLine="0" w:firstLineChars="0"/>
              <w:jc w:val="center"/>
              <w:rPr>
                <w:rFonts w:hint="eastAsia" w:ascii="Times New Roman" w:hAnsi="Times New Roman" w:eastAsia="宋体" w:cs="宋体"/>
                <w:bCs/>
                <w:caps w:val="0"/>
                <w:color w:val="FF0000"/>
                <w:spacing w:val="0"/>
                <w:sz w:val="21"/>
                <w:szCs w:val="21"/>
                <w:highlight w:val="none"/>
              </w:rPr>
            </w:pPr>
            <w:r>
              <w:rPr>
                <w:rFonts w:hint="eastAsia" w:ascii="Times New Roman" w:hAnsi="Times New Roman" w:eastAsia="宋体" w:cs="宋体"/>
                <w:bCs/>
                <w:caps w:val="0"/>
                <w:spacing w:val="0"/>
                <w:sz w:val="24"/>
                <w:szCs w:val="24"/>
                <w:highlight w:val="none"/>
              </w:rPr>
              <w:t>建设内容</w:t>
            </w:r>
          </w:p>
        </w:tc>
        <w:tc>
          <w:tcPr>
            <w:tcW w:w="7987" w:type="dxa"/>
            <w:noWrap w:val="0"/>
            <w:vAlign w:val="top"/>
          </w:tcPr>
          <w:p w14:paraId="709BDA28">
            <w:pPr>
              <w:numPr>
                <w:ilvl w:val="0"/>
                <w:numId w:val="5"/>
              </w:num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项目概况</w:t>
            </w:r>
          </w:p>
          <w:p w14:paraId="457EA4CC">
            <w:pPr>
              <w:pStyle w:val="9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80" w:firstLineChars="200"/>
              <w:textAlignment w:val="baseline"/>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bCs/>
                <w:caps w:val="0"/>
                <w:spacing w:val="0"/>
                <w:sz w:val="24"/>
                <w:szCs w:val="24"/>
                <w:highlight w:val="none"/>
                <w:shd w:val="clear"/>
                <w:lang w:eastAsia="zh-CN"/>
              </w:rPr>
              <w:t>鸡西市燎盛新材料科技有限公司（</w:t>
            </w:r>
            <w:r>
              <w:rPr>
                <w:rFonts w:hint="eastAsia" w:ascii="Times New Roman" w:hAnsi="Times New Roman" w:eastAsia="宋体" w:cs="宋体"/>
                <w:bCs/>
                <w:caps w:val="0"/>
                <w:spacing w:val="0"/>
                <w:sz w:val="24"/>
                <w:szCs w:val="24"/>
                <w:highlight w:val="none"/>
                <w:shd w:val="clear"/>
                <w:lang w:val="en-US" w:eastAsia="zh-CN"/>
              </w:rPr>
              <w:t>以下简称“燎盛新材料”</w:t>
            </w:r>
            <w:r>
              <w:rPr>
                <w:rFonts w:hint="eastAsia" w:ascii="Times New Roman" w:hAnsi="Times New Roman" w:eastAsia="宋体" w:cs="宋体"/>
                <w:bCs/>
                <w:caps w:val="0"/>
                <w:spacing w:val="0"/>
                <w:sz w:val="24"/>
                <w:szCs w:val="24"/>
                <w:highlight w:val="none"/>
                <w:shd w:val="clear"/>
                <w:lang w:eastAsia="zh-CN"/>
              </w:rPr>
              <w:t>）</w:t>
            </w:r>
            <w:r>
              <w:rPr>
                <w:rFonts w:hint="eastAsia" w:ascii="Times New Roman" w:hAnsi="Times New Roman" w:eastAsia="宋体" w:cs="宋体"/>
                <w:bCs/>
                <w:caps w:val="0"/>
                <w:spacing w:val="0"/>
                <w:sz w:val="24"/>
                <w:szCs w:val="24"/>
                <w:highlight w:val="none"/>
                <w:shd w:val="clear"/>
                <w:lang w:val="en-US" w:eastAsia="zh-CN"/>
              </w:rPr>
              <w:t>于2017年成立（营业执照见附件1）并在</w:t>
            </w:r>
            <w:r>
              <w:rPr>
                <w:rFonts w:hint="eastAsia" w:ascii="Times New Roman" w:hAnsi="Times New Roman" w:cs="宋体"/>
                <w:caps w:val="0"/>
                <w:color w:val="auto"/>
                <w:spacing w:val="0"/>
                <w:sz w:val="24"/>
                <w:szCs w:val="24"/>
                <w:highlight w:val="none"/>
                <w:lang w:val="en-US" w:eastAsia="zh-CN"/>
              </w:rPr>
              <w:t>黑龙江省鸡西市梨树区穆棱矿区双建委</w:t>
            </w:r>
            <w:r>
              <w:rPr>
                <w:rFonts w:hint="eastAsia" w:ascii="Times New Roman" w:hAnsi="Times New Roman" w:eastAsia="宋体" w:cs="宋体"/>
                <w:caps w:val="0"/>
                <w:color w:val="auto"/>
                <w:spacing w:val="0"/>
                <w:sz w:val="24"/>
                <w:szCs w:val="24"/>
                <w:highlight w:val="none"/>
                <w:lang w:val="en-US" w:eastAsia="zh-CN"/>
              </w:rPr>
              <w:t>建厂</w:t>
            </w:r>
            <w:r>
              <w:rPr>
                <w:rFonts w:hint="eastAsia" w:ascii="Times New Roman" w:hAnsi="Times New Roman" w:eastAsia="宋体" w:cs="宋体"/>
                <w:bCs/>
                <w:caps w:val="0"/>
                <w:spacing w:val="0"/>
                <w:sz w:val="24"/>
                <w:szCs w:val="24"/>
                <w:highlight w:val="none"/>
                <w:shd w:val="clear"/>
                <w:lang w:val="en-US" w:eastAsia="zh-CN"/>
              </w:rPr>
              <w:t>，主要从事碳纳米条、可膨胀石墨、鳞片石墨的生产。2017年</w:t>
            </w:r>
            <w:r>
              <w:rPr>
                <w:rFonts w:hint="eastAsia" w:ascii="Times New Roman" w:hAnsi="Times New Roman" w:eastAsia="宋体" w:cs="宋体"/>
                <w:bCs/>
                <w:caps w:val="0"/>
                <w:spacing w:val="0"/>
                <w:sz w:val="24"/>
                <w:szCs w:val="24"/>
                <w:highlight w:val="none"/>
                <w:shd w:val="clear"/>
                <w:lang w:eastAsia="zh-CN"/>
              </w:rPr>
              <w:t>燎盛新材料</w:t>
            </w:r>
            <w:r>
              <w:rPr>
                <w:rFonts w:hint="eastAsia" w:ascii="Times New Roman" w:hAnsi="Times New Roman" w:eastAsia="宋体" w:cs="宋体"/>
                <w:caps w:val="0"/>
                <w:sz w:val="24"/>
                <w:szCs w:val="18"/>
                <w:highlight w:val="none"/>
                <w:lang w:val="en-US" w:eastAsia="zh-CN"/>
              </w:rPr>
              <w:t>委托亿普环保服务有限公司</w:t>
            </w:r>
            <w:r>
              <w:rPr>
                <w:rFonts w:hint="eastAsia" w:ascii="Times New Roman" w:hAnsi="Times New Roman" w:eastAsia="宋体" w:cs="宋体"/>
                <w:bCs/>
                <w:caps w:val="0"/>
                <w:spacing w:val="0"/>
                <w:sz w:val="24"/>
                <w:szCs w:val="24"/>
                <w:highlight w:val="none"/>
                <w:shd w:val="clear"/>
                <w:lang w:val="en-US" w:eastAsia="zh-CN"/>
              </w:rPr>
              <w:t>开展了《梨树区石墨筛分烘干建设项目环境影响评价报告表》的编制工作，并于2017年11月27日取得了由鸡西市环境保护局出具的批复（见附件2），批复文号为“鸡环审〔2017〕36号”，主要建设内容为租赁原梨树区穆棱矿供水供热站房屋作为厂房进行生产，项目生产内容包括：对碳纳米管水料进行烘干、对可膨胀石墨水料进行烘干、对鳞片石墨粗料进行筛分，项目建成后年烘干碳纳米管水料2000t、年烘干可膨胀石墨5000t、年筛分鳞片石墨 5000t。该项目于2018年9月完成自主验收，取得专家验收意见（见附件3）。该项目原有烘干工艺</w:t>
            </w:r>
            <w:r>
              <w:rPr>
                <w:rFonts w:hint="eastAsia" w:ascii="Times New Roman" w:hAnsi="Times New Roman" w:cs="宋体"/>
                <w:bCs/>
                <w:caps w:val="0"/>
                <w:spacing w:val="0"/>
                <w:sz w:val="24"/>
                <w:szCs w:val="24"/>
                <w:highlight w:val="none"/>
                <w:shd w:val="clear"/>
                <w:lang w:val="en-US" w:eastAsia="zh-CN"/>
              </w:rPr>
              <w:t>由</w:t>
            </w:r>
            <w:r>
              <w:rPr>
                <w:rFonts w:hint="eastAsia" w:ascii="Times New Roman" w:hAnsi="Times New Roman" w:eastAsia="宋体" w:cs="宋体"/>
                <w:bCs/>
                <w:caps w:val="0"/>
                <w:spacing w:val="0"/>
                <w:sz w:val="24"/>
                <w:szCs w:val="24"/>
                <w:highlight w:val="none"/>
                <w:shd w:val="clear"/>
                <w:lang w:val="en-US" w:eastAsia="zh-CN"/>
              </w:rPr>
              <w:t>1台</w:t>
            </w:r>
            <w:r>
              <w:rPr>
                <w:rFonts w:hint="eastAsia" w:ascii="Times New Roman" w:hAnsi="Times New Roman" w:cs="宋体"/>
                <w:bCs/>
                <w:caps w:val="0"/>
                <w:spacing w:val="0"/>
                <w:sz w:val="24"/>
                <w:szCs w:val="24"/>
                <w:highlight w:val="none"/>
                <w:shd w:val="clear"/>
                <w:lang w:val="en-US" w:eastAsia="zh-CN"/>
              </w:rPr>
              <w:t>0.6t/h</w:t>
            </w:r>
            <w:r>
              <w:rPr>
                <w:rFonts w:hint="eastAsia" w:ascii="Times New Roman" w:hAnsi="Times New Roman" w:eastAsia="宋体" w:cs="宋体"/>
                <w:bCs/>
                <w:caps w:val="0"/>
                <w:spacing w:val="0"/>
                <w:sz w:val="24"/>
                <w:szCs w:val="24"/>
                <w:highlight w:val="none"/>
                <w:shd w:val="clear"/>
                <w:lang w:val="en-US" w:eastAsia="zh-CN"/>
              </w:rPr>
              <w:t>生物质</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bCs/>
                <w:caps w:val="0"/>
                <w:spacing w:val="0"/>
                <w:sz w:val="24"/>
                <w:szCs w:val="24"/>
                <w:highlight w:val="none"/>
                <w:shd w:val="clear"/>
                <w:lang w:val="en-US" w:eastAsia="zh-CN"/>
              </w:rPr>
              <w:t>（位于石墨烘干车间）供给，根据实际生产情况，1台</w:t>
            </w:r>
            <w:r>
              <w:rPr>
                <w:rFonts w:hint="eastAsia" w:ascii="Times New Roman" w:hAnsi="Times New Roman" w:cs="宋体"/>
                <w:bCs/>
                <w:caps w:val="0"/>
                <w:spacing w:val="0"/>
                <w:sz w:val="24"/>
                <w:szCs w:val="24"/>
                <w:highlight w:val="none"/>
                <w:shd w:val="clear"/>
                <w:lang w:val="en-US" w:eastAsia="zh-CN"/>
              </w:rPr>
              <w:t>0.6t/h</w:t>
            </w:r>
            <w:r>
              <w:rPr>
                <w:rFonts w:hint="eastAsia" w:ascii="Times New Roman" w:hAnsi="Times New Roman" w:eastAsia="宋体" w:cs="宋体"/>
                <w:bCs/>
                <w:caps w:val="0"/>
                <w:spacing w:val="0"/>
                <w:sz w:val="24"/>
                <w:szCs w:val="24"/>
                <w:highlight w:val="none"/>
                <w:shd w:val="clear"/>
                <w:lang w:val="en-US" w:eastAsia="zh-CN"/>
              </w:rPr>
              <w:t>的生物质</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bCs/>
                <w:caps w:val="0"/>
                <w:spacing w:val="0"/>
                <w:sz w:val="24"/>
                <w:szCs w:val="24"/>
                <w:highlight w:val="none"/>
                <w:shd w:val="clear"/>
                <w:lang w:val="en-US" w:eastAsia="zh-CN"/>
              </w:rPr>
              <w:t>不能满足全厂的生产用热需求，企业暂停了对碳纳米管烘干的生产，根据市场需求，燎盛新材料计划恢复碳纳米管的生产，因此为满足全厂生产需求，本次在碳纳米管车间扩建2台0.35MW的燃油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bCs/>
                <w:caps w:val="0"/>
                <w:spacing w:val="0"/>
                <w:sz w:val="24"/>
                <w:szCs w:val="24"/>
                <w:highlight w:val="none"/>
                <w:shd w:val="clear"/>
                <w:lang w:val="en-US" w:eastAsia="zh-CN"/>
              </w:rPr>
              <w:t>用于生产，采用一用一备模式。根据</w:t>
            </w:r>
            <w:r>
              <w:rPr>
                <w:rFonts w:hint="eastAsia" w:ascii="Times New Roman" w:hAnsi="Times New Roman" w:eastAsia="宋体" w:cs="宋体"/>
                <w:caps w:val="0"/>
                <w:spacing w:val="0"/>
                <w:sz w:val="24"/>
                <w:szCs w:val="24"/>
                <w:highlight w:val="none"/>
              </w:rPr>
              <w:t>《产业结构调整指导目录（</w:t>
            </w:r>
            <w:r>
              <w:rPr>
                <w:rFonts w:hint="eastAsia" w:ascii="Times New Roman" w:hAnsi="Times New Roman" w:eastAsia="宋体" w:cs="宋体"/>
                <w:caps w:val="0"/>
                <w:spacing w:val="0"/>
                <w:sz w:val="24"/>
                <w:szCs w:val="24"/>
                <w:highlight w:val="none"/>
                <w:lang w:val="en-US" w:eastAsia="zh-CN"/>
              </w:rPr>
              <w:t>2024</w:t>
            </w:r>
            <w:r>
              <w:rPr>
                <w:rFonts w:hint="eastAsia" w:ascii="Times New Roman" w:hAnsi="Times New Roman" w:eastAsia="宋体" w:cs="宋体"/>
                <w:caps w:val="0"/>
                <w:spacing w:val="0"/>
                <w:sz w:val="24"/>
                <w:szCs w:val="24"/>
                <w:highlight w:val="none"/>
              </w:rPr>
              <w:t>年本）》</w:t>
            </w:r>
            <w:r>
              <w:rPr>
                <w:rFonts w:hint="eastAsia" w:ascii="Times New Roman" w:hAnsi="Times New Roman" w:eastAsia="宋体" w:cs="宋体"/>
                <w:caps w:val="0"/>
                <w:spacing w:val="0"/>
                <w:sz w:val="24"/>
                <w:szCs w:val="24"/>
                <w:highlight w:val="none"/>
                <w:lang w:val="en-US" w:eastAsia="zh-CN"/>
              </w:rPr>
              <w:t>2t/h及以下生物质锅炉属于淘汰类，因此本次对原有生物质锅炉同步进行改造，将1台</w:t>
            </w:r>
            <w:r>
              <w:rPr>
                <w:rFonts w:hint="eastAsia" w:ascii="Times New Roman" w:hAnsi="Times New Roman" w:cs="宋体"/>
                <w:caps w:val="0"/>
                <w:spacing w:val="0"/>
                <w:sz w:val="24"/>
                <w:szCs w:val="24"/>
                <w:highlight w:val="none"/>
                <w:lang w:val="en-US" w:eastAsia="zh-CN"/>
              </w:rPr>
              <w:t>0.6t/h</w:t>
            </w:r>
            <w:r>
              <w:rPr>
                <w:rFonts w:hint="eastAsia" w:ascii="Times New Roman" w:hAnsi="Times New Roman" w:eastAsia="宋体" w:cs="宋体"/>
                <w:caps w:val="0"/>
                <w:spacing w:val="0"/>
                <w:sz w:val="24"/>
                <w:szCs w:val="24"/>
                <w:highlight w:val="none"/>
                <w:lang w:val="en-US" w:eastAsia="zh-CN"/>
              </w:rPr>
              <w:t>生物质</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szCs w:val="24"/>
                <w:highlight w:val="none"/>
                <w:lang w:val="en-US" w:eastAsia="zh-CN"/>
              </w:rPr>
              <w:t>改为1台0.35MW燃油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szCs w:val="24"/>
                <w:highlight w:val="none"/>
                <w:lang w:val="en-US" w:eastAsia="zh-CN"/>
              </w:rPr>
              <w:t>，燃料均采用轻质柴油。本次</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szCs w:val="24"/>
                <w:highlight w:val="none"/>
                <w:lang w:val="en-US" w:eastAsia="zh-CN"/>
              </w:rPr>
              <w:t>扩建工程不新增产能，在</w:t>
            </w:r>
            <w:r>
              <w:rPr>
                <w:rFonts w:hint="eastAsia" w:ascii="Times New Roman" w:hAnsi="Times New Roman" w:cs="宋体"/>
                <w:caps w:val="0"/>
                <w:spacing w:val="0"/>
                <w:sz w:val="24"/>
                <w:szCs w:val="24"/>
                <w:highlight w:val="none"/>
                <w:lang w:val="en-US" w:eastAsia="zh-CN"/>
              </w:rPr>
              <w:t>原有</w:t>
            </w:r>
            <w:r>
              <w:rPr>
                <w:rFonts w:hint="eastAsia" w:ascii="Times New Roman" w:hAnsi="Times New Roman" w:eastAsia="宋体" w:cs="宋体"/>
                <w:caps w:val="0"/>
                <w:spacing w:val="0"/>
                <w:sz w:val="24"/>
                <w:szCs w:val="24"/>
                <w:highlight w:val="none"/>
                <w:lang w:val="en-US" w:eastAsia="zh-CN"/>
              </w:rPr>
              <w:t>的碳纳米条、可膨胀石墨、鳞片石墨产能不变的基础上对热源进行改扩建，仅扩建</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spacing w:val="0"/>
                <w:sz w:val="24"/>
                <w:szCs w:val="24"/>
                <w:highlight w:val="none"/>
                <w:lang w:val="en-US" w:eastAsia="zh-CN"/>
              </w:rPr>
              <w:t>，用于满足现有工程的实际生产需求。</w:t>
            </w:r>
          </w:p>
          <w:p w14:paraId="4175C1A7">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2.建设内容</w:t>
            </w:r>
          </w:p>
          <w:p w14:paraId="3CF2C503">
            <w:pPr>
              <w:spacing w:line="360" w:lineRule="auto"/>
              <w:rPr>
                <w:rFonts w:hint="default"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本项目为</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szCs w:val="24"/>
                <w:highlight w:val="none"/>
                <w:lang w:val="en-US" w:eastAsia="zh-CN"/>
              </w:rPr>
              <w:t>改造项目，改/扩建3台0.35MW的燃油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highlight w:val="none"/>
                <w:lang w:val="en-US" w:eastAsia="zh-CN"/>
              </w:rPr>
              <w:t>两用一备</w:t>
            </w:r>
            <w:r>
              <w:rPr>
                <w:rFonts w:hint="eastAsia" w:ascii="Times New Roman" w:hAnsi="Times New Roman" w:eastAsia="宋体" w:cs="宋体"/>
                <w:caps w:val="0"/>
                <w:color w:val="auto"/>
                <w:spacing w:val="0"/>
                <w:sz w:val="24"/>
                <w:highlight w:val="none"/>
                <w:lang w:eastAsia="zh-CN"/>
              </w:rPr>
              <w:t>）</w:t>
            </w:r>
            <w:r>
              <w:rPr>
                <w:rFonts w:hint="eastAsia" w:ascii="Times New Roman" w:hAnsi="Times New Roman" w:eastAsia="宋体" w:cs="宋体"/>
                <w:caps w:val="0"/>
                <w:color w:val="auto"/>
                <w:spacing w:val="0"/>
                <w:sz w:val="24"/>
                <w:szCs w:val="24"/>
                <w:highlight w:val="none"/>
                <w:lang w:val="en-US" w:eastAsia="zh-CN"/>
              </w:rPr>
              <w:t>用于生产用热，对原有1台</w:t>
            </w:r>
            <w:r>
              <w:rPr>
                <w:rFonts w:hint="eastAsia" w:ascii="Times New Roman" w:hAnsi="Times New Roman" w:cs="宋体"/>
                <w:caps w:val="0"/>
                <w:color w:val="auto"/>
                <w:spacing w:val="0"/>
                <w:sz w:val="24"/>
                <w:szCs w:val="24"/>
                <w:highlight w:val="none"/>
                <w:lang w:val="en-US" w:eastAsia="zh-CN"/>
              </w:rPr>
              <w:t>0.6t/h</w:t>
            </w:r>
            <w:r>
              <w:rPr>
                <w:rFonts w:hint="eastAsia" w:ascii="Times New Roman" w:hAnsi="Times New Roman" w:eastAsia="宋体" w:cs="宋体"/>
                <w:caps w:val="0"/>
                <w:color w:val="auto"/>
                <w:spacing w:val="0"/>
                <w:sz w:val="24"/>
                <w:szCs w:val="24"/>
                <w:highlight w:val="none"/>
                <w:lang w:val="en-US" w:eastAsia="zh-CN"/>
              </w:rPr>
              <w:t>的生物质</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szCs w:val="24"/>
                <w:highlight w:val="none"/>
                <w:lang w:val="en-US" w:eastAsia="zh-CN"/>
              </w:rPr>
              <w:t>燃烧器进行改造，实现其燃料由燃生物质改为燃轻质柴油；在碳纳米管生产车间扩建2台0.35MW的燃油</w:t>
            </w:r>
            <w:r>
              <w:rPr>
                <w:rFonts w:hint="eastAsia" w:ascii="Times New Roman" w:hAnsi="Times New Roman" w:cs="宋体"/>
                <w:caps w:val="0"/>
                <w:spacing w:val="0"/>
                <w:sz w:val="24"/>
                <w:highlight w:val="none"/>
                <w:lang w:val="en-US" w:eastAsia="zh-CN"/>
              </w:rPr>
              <w:t>导热油炉</w:t>
            </w:r>
            <w:r>
              <w:rPr>
                <w:rFonts w:hint="eastAsia" w:ascii="Times New Roman" w:hAnsi="Times New Roman" w:eastAsia="宋体" w:cs="宋体"/>
                <w:caps w:val="0"/>
                <w:color w:val="auto"/>
                <w:spacing w:val="0"/>
                <w:sz w:val="24"/>
                <w:szCs w:val="24"/>
                <w:highlight w:val="none"/>
                <w:lang w:val="en-US" w:eastAsia="zh-CN"/>
              </w:rPr>
              <w:t>（一用一备）。</w:t>
            </w:r>
          </w:p>
          <w:p w14:paraId="626ED9C0">
            <w:pPr>
              <w:spacing w:line="360" w:lineRule="auto"/>
              <w:rPr>
                <w:rFonts w:hint="eastAsia" w:ascii="Times New Roman" w:hAnsi="Times New Roman" w:eastAsia="宋体" w:cs="宋体"/>
                <w:caps w:val="0"/>
                <w:color w:val="auto"/>
                <w:spacing w:val="0"/>
                <w:sz w:val="24"/>
                <w:szCs w:val="24"/>
                <w:highlight w:val="none"/>
              </w:rPr>
            </w:pPr>
            <w:r>
              <w:rPr>
                <w:rFonts w:hint="eastAsia" w:ascii="Times New Roman" w:hAnsi="Times New Roman" w:eastAsia="宋体" w:cs="宋体"/>
                <w:caps w:val="0"/>
                <w:color w:val="auto"/>
                <w:spacing w:val="0"/>
                <w:sz w:val="24"/>
                <w:szCs w:val="24"/>
                <w:highlight w:val="none"/>
              </w:rPr>
              <w:t>根据《建设项目环境影响评价分类管理名录》（2021年版），本项目所属类别</w:t>
            </w:r>
            <w:r>
              <w:rPr>
                <w:rFonts w:hint="eastAsia" w:ascii="Times New Roman" w:hAnsi="Times New Roman" w:eastAsia="宋体" w:cs="宋体"/>
                <w:caps w:val="0"/>
                <w:color w:val="auto"/>
                <w:spacing w:val="0"/>
                <w:sz w:val="24"/>
                <w:szCs w:val="24"/>
                <w:highlight w:val="none"/>
                <w:lang w:eastAsia="zh-CN"/>
              </w:rPr>
              <w:t>为</w:t>
            </w:r>
            <w:r>
              <w:rPr>
                <w:rFonts w:hint="eastAsia" w:ascii="Times New Roman" w:hAnsi="Times New Roman" w:eastAsia="宋体" w:cs="宋体"/>
                <w:caps w:val="0"/>
                <w:color w:val="auto"/>
                <w:spacing w:val="0"/>
                <w:sz w:val="24"/>
                <w:szCs w:val="24"/>
                <w:highlight w:val="none"/>
                <w:lang w:val="en-US" w:eastAsia="zh-CN"/>
              </w:rPr>
              <w:t>“燃煤、燃油锅炉总容量65吨/小时（45.5兆瓦）及以下的：天然气锅炉总容量1吨/小时（0.7兆瓦）以上的；使用其他高污染燃料的”需编制环境影响报告表。</w:t>
            </w:r>
          </w:p>
          <w:p w14:paraId="32199B85">
            <w:pPr>
              <w:spacing w:line="360" w:lineRule="auto"/>
              <w:rPr>
                <w:rFonts w:hint="eastAsia" w:ascii="Times New Roman" w:hAnsi="Times New Roman" w:eastAsia="宋体" w:cs="宋体"/>
                <w:caps w:val="0"/>
                <w:color w:val="auto"/>
                <w:spacing w:val="0"/>
                <w:sz w:val="24"/>
                <w:szCs w:val="24"/>
                <w:highlight w:val="none"/>
              </w:rPr>
            </w:pPr>
            <w:r>
              <w:rPr>
                <w:rFonts w:hint="eastAsia" w:ascii="Times New Roman" w:hAnsi="Times New Roman" w:eastAsia="宋体" w:cs="宋体"/>
                <w:caps w:val="0"/>
                <w:color w:val="auto"/>
                <w:spacing w:val="0"/>
                <w:sz w:val="24"/>
                <w:szCs w:val="24"/>
                <w:highlight w:val="none"/>
              </w:rPr>
              <w:t>本项目主要工程组成见下表</w:t>
            </w:r>
            <w:r>
              <w:rPr>
                <w:rFonts w:hint="eastAsia" w:ascii="Times New Roman" w:hAnsi="Times New Roman" w:eastAsia="宋体" w:cs="宋体"/>
                <w:caps w:val="0"/>
                <w:color w:val="auto"/>
                <w:spacing w:val="0"/>
                <w:sz w:val="24"/>
                <w:szCs w:val="24"/>
                <w:highlight w:val="none"/>
                <w:lang w:val="en-US" w:eastAsia="zh-CN"/>
              </w:rPr>
              <w:t>2-1</w:t>
            </w:r>
            <w:r>
              <w:rPr>
                <w:rFonts w:hint="eastAsia" w:ascii="Times New Roman" w:hAnsi="Times New Roman" w:eastAsia="宋体" w:cs="宋体"/>
                <w:caps w:val="0"/>
                <w:color w:val="auto"/>
                <w:spacing w:val="0"/>
                <w:sz w:val="24"/>
                <w:szCs w:val="24"/>
                <w:highlight w:val="none"/>
              </w:rPr>
              <w:t>。</w:t>
            </w:r>
          </w:p>
          <w:p w14:paraId="3DB11E7C">
            <w:pPr>
              <w:pStyle w:val="77"/>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宋体"/>
                <w:b/>
                <w:bCs w:val="0"/>
                <w:caps w:val="0"/>
                <w:color w:val="auto"/>
                <w:spacing w:val="0"/>
                <w:kern w:val="2"/>
                <w:sz w:val="21"/>
                <w:szCs w:val="21"/>
                <w:highlight w:val="none"/>
                <w:lang w:val="en-US" w:eastAsia="zh-CN" w:bidi="ar-SA"/>
              </w:rPr>
            </w:pPr>
            <w:r>
              <w:rPr>
                <w:rFonts w:hint="eastAsia" w:ascii="Times New Roman" w:hAnsi="Times New Roman" w:eastAsia="宋体" w:cs="宋体"/>
                <w:b/>
                <w:bCs w:val="0"/>
                <w:caps w:val="0"/>
                <w:color w:val="auto"/>
                <w:spacing w:val="0"/>
                <w:kern w:val="2"/>
                <w:sz w:val="21"/>
                <w:szCs w:val="21"/>
                <w:highlight w:val="none"/>
                <w:lang w:val="en-US" w:eastAsia="zh-CN" w:bidi="ar-SA"/>
              </w:rPr>
              <w:t>表2-1 主要建设内容一览表</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1327"/>
              <w:gridCol w:w="4498"/>
              <w:gridCol w:w="689"/>
            </w:tblGrid>
            <w:tr w14:paraId="4ACB23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584" w:type="dxa"/>
                  <w:gridSpan w:val="2"/>
                  <w:tcBorders>
                    <w:tl2br w:val="nil"/>
                    <w:tr2bl w:val="nil"/>
                  </w:tcBorders>
                  <w:noWrap w:val="0"/>
                  <w:vAlign w:val="center"/>
                </w:tcPr>
                <w:p w14:paraId="6E4DD050">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r>
                    <w:rPr>
                      <w:rFonts w:hint="default" w:ascii="Times New Roman" w:hAnsi="Times New Roman" w:eastAsia="宋体" w:cs="宋体"/>
                      <w:caps w:val="0"/>
                      <w:snapToGrid w:val="0"/>
                      <w:color w:val="auto"/>
                      <w:spacing w:val="0"/>
                      <w:sz w:val="21"/>
                      <w:szCs w:val="21"/>
                      <w:highlight w:val="none"/>
                    </w:rPr>
                    <w:t>项目</w:t>
                  </w:r>
                </w:p>
              </w:tc>
              <w:tc>
                <w:tcPr>
                  <w:tcW w:w="4498" w:type="dxa"/>
                  <w:tcBorders>
                    <w:tl2br w:val="nil"/>
                    <w:tr2bl w:val="nil"/>
                  </w:tcBorders>
                  <w:noWrap w:val="0"/>
                  <w:vAlign w:val="center"/>
                </w:tcPr>
                <w:p w14:paraId="3F06BC6F">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r>
                    <w:rPr>
                      <w:rFonts w:hint="default" w:ascii="Times New Roman" w:hAnsi="Times New Roman" w:eastAsia="宋体" w:cs="宋体"/>
                      <w:caps w:val="0"/>
                      <w:snapToGrid w:val="0"/>
                      <w:color w:val="auto"/>
                      <w:spacing w:val="0"/>
                      <w:sz w:val="21"/>
                      <w:szCs w:val="21"/>
                      <w:highlight w:val="none"/>
                    </w:rPr>
                    <w:t>主要建设内容</w:t>
                  </w:r>
                </w:p>
              </w:tc>
              <w:tc>
                <w:tcPr>
                  <w:tcW w:w="689" w:type="dxa"/>
                  <w:tcBorders>
                    <w:tl2br w:val="nil"/>
                    <w:tr2bl w:val="nil"/>
                  </w:tcBorders>
                  <w:noWrap w:val="0"/>
                  <w:vAlign w:val="center"/>
                </w:tcPr>
                <w:p w14:paraId="69DAB957">
                  <w:pPr>
                    <w:pStyle w:val="70"/>
                    <w:spacing w:line="240" w:lineRule="auto"/>
                    <w:jc w:val="center"/>
                    <w:rPr>
                      <w:rFonts w:hint="default" w:ascii="Times New Roman" w:hAnsi="Times New Roman" w:eastAsia="宋体" w:cs="宋体"/>
                      <w:caps w:val="0"/>
                      <w:snapToGrid w:val="0"/>
                      <w:color w:val="auto"/>
                      <w:spacing w:val="0"/>
                      <w:sz w:val="21"/>
                      <w:szCs w:val="21"/>
                      <w:highlight w:val="none"/>
                      <w:lang w:val="en-US" w:eastAsia="zh-CN"/>
                    </w:rPr>
                  </w:pPr>
                  <w:r>
                    <w:rPr>
                      <w:rFonts w:hint="default" w:ascii="Times New Roman" w:hAnsi="Times New Roman" w:eastAsia="宋体" w:cs="宋体"/>
                      <w:caps w:val="0"/>
                      <w:snapToGrid w:val="0"/>
                      <w:color w:val="auto"/>
                      <w:spacing w:val="0"/>
                      <w:sz w:val="21"/>
                      <w:szCs w:val="21"/>
                      <w:highlight w:val="none"/>
                      <w:lang w:val="en-US" w:eastAsia="zh-CN"/>
                    </w:rPr>
                    <w:t>备注</w:t>
                  </w:r>
                </w:p>
              </w:tc>
            </w:tr>
            <w:tr w14:paraId="70B337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restart"/>
                  <w:tcBorders>
                    <w:tl2br w:val="nil"/>
                    <w:tr2bl w:val="nil"/>
                  </w:tcBorders>
                  <w:noWrap w:val="0"/>
                  <w:vAlign w:val="center"/>
                </w:tcPr>
                <w:p w14:paraId="09FCFCD2">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r>
                    <w:rPr>
                      <w:rFonts w:hint="default" w:ascii="Times New Roman" w:hAnsi="Times New Roman" w:eastAsia="宋体" w:cs="宋体"/>
                      <w:caps w:val="0"/>
                      <w:snapToGrid w:val="0"/>
                      <w:color w:val="auto"/>
                      <w:spacing w:val="0"/>
                      <w:sz w:val="21"/>
                      <w:szCs w:val="21"/>
                      <w:highlight w:val="none"/>
                    </w:rPr>
                    <w:t>主体工程</w:t>
                  </w:r>
                </w:p>
              </w:tc>
              <w:tc>
                <w:tcPr>
                  <w:tcW w:w="1327" w:type="dxa"/>
                  <w:tcBorders>
                    <w:tl2br w:val="nil"/>
                    <w:tr2bl w:val="nil"/>
                  </w:tcBorders>
                  <w:noWrap w:val="0"/>
                  <w:vAlign w:val="center"/>
                </w:tcPr>
                <w:p w14:paraId="539A7EAE">
                  <w:pPr>
                    <w:pStyle w:val="70"/>
                    <w:spacing w:line="240" w:lineRule="auto"/>
                    <w:jc w:val="center"/>
                    <w:rPr>
                      <w:rFonts w:hint="default" w:ascii="Times New Roman" w:hAnsi="Times New Roman" w:eastAsia="宋体" w:cs="宋体"/>
                      <w:caps w:val="0"/>
                      <w:snapToGrid w:val="0"/>
                      <w:color w:val="auto"/>
                      <w:spacing w:val="0"/>
                      <w:sz w:val="21"/>
                      <w:szCs w:val="21"/>
                      <w:highlight w:val="none"/>
                      <w:lang w:val="en-US"/>
                    </w:rPr>
                  </w:pPr>
                  <w:r>
                    <w:rPr>
                      <w:rFonts w:hint="eastAsia" w:ascii="Times New Roman" w:hAnsi="Times New Roman" w:eastAsia="宋体" w:cs="宋体"/>
                      <w:caps w:val="0"/>
                      <w:snapToGrid w:val="0"/>
                      <w:color w:val="auto"/>
                      <w:spacing w:val="0"/>
                      <w:sz w:val="21"/>
                      <w:szCs w:val="21"/>
                      <w:highlight w:val="none"/>
                      <w:lang w:val="en-US" w:eastAsia="zh-CN"/>
                    </w:rPr>
                    <w:t>碳纳米管烘干车间锅炉扩建</w:t>
                  </w:r>
                </w:p>
              </w:tc>
              <w:tc>
                <w:tcPr>
                  <w:tcW w:w="4498" w:type="dxa"/>
                  <w:tcBorders>
                    <w:tl2br w:val="nil"/>
                    <w:tr2bl w:val="nil"/>
                  </w:tcBorders>
                  <w:noWrap w:val="0"/>
                  <w:vAlign w:val="center"/>
                </w:tcPr>
                <w:p w14:paraId="75262E09">
                  <w:pPr>
                    <w:spacing w:line="240" w:lineRule="auto"/>
                    <w:ind w:left="0" w:leftChars="0" w:firstLine="0" w:firstLineChars="0"/>
                    <w:jc w:val="center"/>
                    <w:rPr>
                      <w:rFonts w:hint="default" w:ascii="Times New Roman" w:hAnsi="Times New Roman" w:eastAsia="宋体" w:cs="宋体"/>
                      <w:caps w:val="0"/>
                      <w:snapToGrid w:val="0"/>
                      <w:color w:val="auto"/>
                      <w:spacing w:val="0"/>
                      <w:sz w:val="21"/>
                      <w:szCs w:val="21"/>
                      <w:highlight w:val="no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对碳纳米管烘干车间进行改造，在车间内改造一座锅炉房，</w:t>
                  </w:r>
                  <w:r>
                    <w:rPr>
                      <w:rFonts w:hint="eastAsia" w:ascii="Times New Roman" w:hAnsi="Times New Roman" w:cs="宋体"/>
                      <w:caps w:val="0"/>
                      <w:snapToGrid w:val="0"/>
                      <w:color w:val="auto"/>
                      <w:spacing w:val="0"/>
                      <w:sz w:val="21"/>
                      <w:szCs w:val="21"/>
                      <w:highlight w:val="none"/>
                      <w:lang w:val="en-US" w:eastAsia="zh-CN"/>
                    </w:rPr>
                    <w:t>位于车间南侧，此处称为锅炉房2，</w:t>
                  </w:r>
                  <w:r>
                    <w:rPr>
                      <w:rFonts w:hint="eastAsia" w:ascii="Times New Roman" w:hAnsi="Times New Roman" w:eastAsia="宋体" w:cs="宋体"/>
                      <w:caps w:val="0"/>
                      <w:snapToGrid w:val="0"/>
                      <w:color w:val="auto"/>
                      <w:spacing w:val="0"/>
                      <w:sz w:val="21"/>
                      <w:szCs w:val="21"/>
                      <w:highlight w:val="none"/>
                      <w:lang w:val="en-US" w:eastAsia="zh-CN"/>
                    </w:rPr>
                    <w:t>锅炉房</w:t>
                  </w:r>
                  <w:r>
                    <w:rPr>
                      <w:rFonts w:hint="eastAsia" w:ascii="Times New Roman" w:hAnsi="Times New Roman" w:cs="宋体"/>
                      <w:caps w:val="0"/>
                      <w:snapToGrid w:val="0"/>
                      <w:color w:val="auto"/>
                      <w:spacing w:val="0"/>
                      <w:sz w:val="21"/>
                      <w:szCs w:val="21"/>
                      <w:highlight w:val="none"/>
                      <w:lang w:val="en-US" w:eastAsia="zh-CN"/>
                    </w:rPr>
                    <w:t>2的</w:t>
                  </w:r>
                  <w:r>
                    <w:rPr>
                      <w:rFonts w:hint="eastAsia" w:ascii="Times New Roman" w:hAnsi="Times New Roman" w:eastAsia="宋体" w:cs="宋体"/>
                      <w:caps w:val="0"/>
                      <w:snapToGrid w:val="0"/>
                      <w:color w:val="auto"/>
                      <w:spacing w:val="0"/>
                      <w:sz w:val="21"/>
                      <w:szCs w:val="21"/>
                      <w:highlight w:val="none"/>
                      <w:lang w:val="en-US" w:eastAsia="zh-CN"/>
                    </w:rPr>
                    <w:t>面积</w:t>
                  </w:r>
                  <w:r>
                    <w:rPr>
                      <w:rFonts w:hint="eastAsia" w:ascii="Times New Roman" w:hAnsi="Times New Roman" w:cs="宋体"/>
                      <w:caps w:val="0"/>
                      <w:snapToGrid w:val="0"/>
                      <w:color w:val="auto"/>
                      <w:spacing w:val="0"/>
                      <w:sz w:val="21"/>
                      <w:szCs w:val="21"/>
                      <w:highlight w:val="none"/>
                      <w:lang w:val="en-US" w:eastAsia="zh-CN"/>
                    </w:rPr>
                    <w:t>为</w:t>
                  </w:r>
                  <w:r>
                    <w:rPr>
                      <w:rFonts w:hint="eastAsia" w:ascii="Times New Roman" w:hAnsi="Times New Roman" w:eastAsia="宋体" w:cs="宋体"/>
                      <w:caps w:val="0"/>
                      <w:snapToGrid w:val="0"/>
                      <w:color w:val="auto"/>
                      <w:spacing w:val="0"/>
                      <w:sz w:val="21"/>
                      <w:szCs w:val="21"/>
                      <w:highlight w:val="none"/>
                      <w:lang w:val="en-US" w:eastAsia="zh-CN"/>
                    </w:rPr>
                    <w:t>91m</w:t>
                  </w:r>
                  <w:r>
                    <w:rPr>
                      <w:rFonts w:hint="eastAsia" w:ascii="Times New Roman" w:hAnsi="Times New Roman" w:eastAsia="宋体" w:cs="宋体"/>
                      <w:caps w:val="0"/>
                      <w:snapToGrid w:val="0"/>
                      <w:color w:val="auto"/>
                      <w:spacing w:val="0"/>
                      <w:sz w:val="21"/>
                      <w:szCs w:val="21"/>
                      <w:highlight w:val="none"/>
                      <w:vertAlign w:val="superscript"/>
                      <w:lang w:val="en-US" w:eastAsia="zh-CN"/>
                    </w:rPr>
                    <w:t>2</w:t>
                  </w:r>
                  <w:r>
                    <w:rPr>
                      <w:rFonts w:hint="eastAsia" w:ascii="Times New Roman" w:hAnsi="Times New Roman" w:eastAsia="宋体" w:cs="宋体"/>
                      <w:caps w:val="0"/>
                      <w:snapToGrid w:val="0"/>
                      <w:color w:val="auto"/>
                      <w:spacing w:val="0"/>
                      <w:sz w:val="21"/>
                      <w:szCs w:val="21"/>
                      <w:highlight w:val="none"/>
                      <w:lang w:val="en-US" w:eastAsia="zh-CN"/>
                    </w:rPr>
                    <w:t>，扩建2台0.35MW燃油</w:t>
                  </w: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snapToGrid w:val="0"/>
                      <w:color w:val="auto"/>
                      <w:spacing w:val="0"/>
                      <w:sz w:val="21"/>
                      <w:szCs w:val="21"/>
                      <w:highlight w:val="none"/>
                      <w:lang w:val="en-US" w:eastAsia="zh-CN"/>
                    </w:rPr>
                    <w:t>，采用一用一备模式，</w:t>
                  </w:r>
                  <w:r>
                    <w:rPr>
                      <w:rFonts w:hint="eastAsia" w:ascii="Times New Roman" w:hAnsi="Times New Roman" w:cs="宋体"/>
                      <w:caps w:val="0"/>
                      <w:snapToGrid w:val="0"/>
                      <w:color w:val="auto"/>
                      <w:spacing w:val="0"/>
                      <w:sz w:val="21"/>
                      <w:szCs w:val="21"/>
                      <w:highlight w:val="none"/>
                      <w:lang w:val="en-US" w:eastAsia="zh-CN"/>
                    </w:rPr>
                    <w:t>用于烘干碳纳米管水料。</w:t>
                  </w:r>
                  <w:r>
                    <w:rPr>
                      <w:rFonts w:hint="eastAsia" w:ascii="Times New Roman" w:hAnsi="Times New Roman" w:eastAsia="宋体" w:cs="宋体"/>
                      <w:caps w:val="0"/>
                      <w:snapToGrid w:val="0"/>
                      <w:color w:val="auto"/>
                      <w:spacing w:val="0"/>
                      <w:sz w:val="21"/>
                      <w:szCs w:val="21"/>
                      <w:highlight w:val="none"/>
                      <w:lang w:val="en-US" w:eastAsia="zh-CN"/>
                    </w:rPr>
                    <w:t>配套建设一套环保措施，</w:t>
                  </w:r>
                  <w:r>
                    <w:rPr>
                      <w:rFonts w:hint="eastAsia" w:ascii="Times New Roman" w:hAnsi="Times New Roman" w:cs="宋体"/>
                      <w:caps w:val="0"/>
                      <w:snapToGrid w:val="0"/>
                      <w:color w:val="auto"/>
                      <w:spacing w:val="0"/>
                      <w:sz w:val="21"/>
                      <w:szCs w:val="21"/>
                      <w:highlight w:val="none"/>
                      <w:lang w:val="en-US" w:eastAsia="zh-CN"/>
                    </w:rPr>
                    <w:t>采用布袋除尘器，新增一根20m高排气筒DA004。</w:t>
                  </w:r>
                </w:p>
              </w:tc>
              <w:tc>
                <w:tcPr>
                  <w:tcW w:w="689" w:type="dxa"/>
                  <w:tcBorders>
                    <w:tl2br w:val="nil"/>
                    <w:tr2bl w:val="nil"/>
                  </w:tcBorders>
                  <w:noWrap w:val="0"/>
                  <w:vAlign w:val="center"/>
                </w:tcPr>
                <w:p w14:paraId="7381083C">
                  <w:pPr>
                    <w:spacing w:line="240" w:lineRule="auto"/>
                    <w:ind w:left="0" w:leftChars="0" w:firstLine="0" w:firstLineChars="0"/>
                    <w:jc w:val="center"/>
                    <w:rPr>
                      <w:rFonts w:hint="default" w:ascii="Times New Roman" w:hAnsi="Times New Roman" w:eastAsia="宋体" w:cs="宋体"/>
                      <w:caps w:val="0"/>
                      <w:snapToGrid w:val="0"/>
                      <w:color w:val="auto"/>
                      <w:spacing w:val="0"/>
                      <w:sz w:val="21"/>
                      <w:szCs w:val="21"/>
                      <w:highlight w:val="no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新建</w:t>
                  </w:r>
                </w:p>
              </w:tc>
            </w:tr>
            <w:tr w14:paraId="6D8919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tcBorders>
                    <w:tl2br w:val="nil"/>
                    <w:tr2bl w:val="nil"/>
                  </w:tcBorders>
                  <w:noWrap w:val="0"/>
                  <w:vAlign w:val="center"/>
                </w:tcPr>
                <w:p w14:paraId="7D46DB9E">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p>
              </w:tc>
              <w:tc>
                <w:tcPr>
                  <w:tcW w:w="1327" w:type="dxa"/>
                  <w:tcBorders>
                    <w:tl2br w:val="nil"/>
                    <w:tr2bl w:val="nil"/>
                  </w:tcBorders>
                  <w:noWrap w:val="0"/>
                  <w:vAlign w:val="center"/>
                </w:tcPr>
                <w:p w14:paraId="72866524">
                  <w:pPr>
                    <w:pStyle w:val="70"/>
                    <w:spacing w:line="240" w:lineRule="auto"/>
                    <w:jc w:val="center"/>
                    <w:rPr>
                      <w:rFonts w:hint="default" w:ascii="Times New Roman" w:hAnsi="Times New Roman" w:eastAsia="宋体" w:cs="宋体"/>
                      <w:caps w:val="0"/>
                      <w:snapToGrid w:val="0"/>
                      <w:color w:val="auto"/>
                      <w:spacing w:val="0"/>
                      <w:sz w:val="21"/>
                      <w:szCs w:val="21"/>
                      <w:highlight w:val="none"/>
                      <w:lang w:val="en-US" w:eastAsia="zh-CN"/>
                    </w:rPr>
                  </w:pPr>
                  <w:r>
                    <w:rPr>
                      <w:rFonts w:hint="eastAsia" w:cs="宋体"/>
                      <w:caps w:val="0"/>
                      <w:snapToGrid w:val="0"/>
                      <w:color w:val="auto"/>
                      <w:spacing w:val="0"/>
                      <w:sz w:val="21"/>
                      <w:szCs w:val="21"/>
                      <w:highlight w:val="none"/>
                      <w:lang w:val="en-US" w:eastAsia="zh-CN"/>
                    </w:rPr>
                    <w:t>膨胀</w:t>
                  </w:r>
                  <w:r>
                    <w:rPr>
                      <w:rFonts w:hint="eastAsia" w:ascii="Times New Roman" w:hAnsi="Times New Roman" w:eastAsia="宋体" w:cs="宋体"/>
                      <w:caps w:val="0"/>
                      <w:snapToGrid w:val="0"/>
                      <w:color w:val="auto"/>
                      <w:spacing w:val="0"/>
                      <w:sz w:val="21"/>
                      <w:szCs w:val="21"/>
                      <w:highlight w:val="none"/>
                      <w:lang w:val="en-US" w:eastAsia="zh-CN"/>
                    </w:rPr>
                    <w:t>石墨烘干车间锅炉改造</w:t>
                  </w:r>
                </w:p>
              </w:tc>
              <w:tc>
                <w:tcPr>
                  <w:tcW w:w="4498" w:type="dxa"/>
                  <w:tcBorders>
                    <w:tl2br w:val="nil"/>
                    <w:tr2bl w:val="nil"/>
                  </w:tcBorders>
                  <w:noWrap w:val="0"/>
                  <w:vAlign w:val="center"/>
                </w:tcPr>
                <w:p w14:paraId="7CB609D7">
                  <w:pPr>
                    <w:spacing w:line="240" w:lineRule="auto"/>
                    <w:ind w:left="0" w:leftChars="0" w:firstLine="0" w:firstLineChars="0"/>
                    <w:jc w:val="center"/>
                    <w:rPr>
                      <w:rFonts w:hint="default" w:ascii="Times New Roman" w:hAnsi="Times New Roman" w:eastAsia="宋体" w:cs="宋体"/>
                      <w:caps w:val="0"/>
                      <w:snapToGrid w:val="0"/>
                      <w:color w:val="auto"/>
                      <w:spacing w:val="0"/>
                      <w:sz w:val="21"/>
                      <w:szCs w:val="21"/>
                      <w:highlight w:val="no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对石墨烘干车间</w:t>
                  </w:r>
                  <w:r>
                    <w:rPr>
                      <w:rFonts w:hint="eastAsia" w:ascii="Times New Roman" w:hAnsi="Times New Roman" w:cs="宋体"/>
                      <w:caps w:val="0"/>
                      <w:snapToGrid w:val="0"/>
                      <w:color w:val="auto"/>
                      <w:spacing w:val="0"/>
                      <w:sz w:val="21"/>
                      <w:szCs w:val="21"/>
                      <w:highlight w:val="none"/>
                      <w:lang w:val="en-US" w:eastAsia="zh-CN"/>
                    </w:rPr>
                    <w:t>内</w:t>
                  </w:r>
                  <w:r>
                    <w:rPr>
                      <w:rFonts w:hint="eastAsia" w:ascii="Times New Roman" w:hAnsi="Times New Roman" w:eastAsia="宋体" w:cs="宋体"/>
                      <w:caps w:val="0"/>
                      <w:snapToGrid w:val="0"/>
                      <w:color w:val="auto"/>
                      <w:spacing w:val="0"/>
                      <w:sz w:val="21"/>
                      <w:szCs w:val="21"/>
                      <w:highlight w:val="none"/>
                      <w:lang w:val="en-US" w:eastAsia="zh-CN"/>
                    </w:rPr>
                    <w:t>的</w:t>
                  </w:r>
                  <w:r>
                    <w:rPr>
                      <w:rFonts w:hint="eastAsia" w:ascii="Times New Roman" w:hAnsi="Times New Roman" w:cs="宋体"/>
                      <w:caps w:val="0"/>
                      <w:snapToGrid w:val="0"/>
                      <w:color w:val="auto"/>
                      <w:spacing w:val="0"/>
                      <w:sz w:val="21"/>
                      <w:szCs w:val="21"/>
                      <w:highlight w:val="none"/>
                      <w:lang w:val="en-US" w:eastAsia="zh-CN"/>
                    </w:rPr>
                    <w:t>锅炉房</w:t>
                  </w:r>
                  <w:r>
                    <w:rPr>
                      <w:rFonts w:hint="eastAsia" w:ascii="Times New Roman" w:hAnsi="Times New Roman" w:eastAsia="宋体" w:cs="宋体"/>
                      <w:caps w:val="0"/>
                      <w:snapToGrid w:val="0"/>
                      <w:color w:val="auto"/>
                      <w:spacing w:val="0"/>
                      <w:sz w:val="21"/>
                      <w:szCs w:val="21"/>
                      <w:highlight w:val="none"/>
                      <w:lang w:val="en-US" w:eastAsia="zh-CN"/>
                    </w:rPr>
                    <w:t>进行</w:t>
                  </w: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snapToGrid w:val="0"/>
                      <w:color w:val="auto"/>
                      <w:spacing w:val="0"/>
                      <w:sz w:val="21"/>
                      <w:szCs w:val="21"/>
                      <w:highlight w:val="none"/>
                      <w:lang w:val="en-US" w:eastAsia="zh-CN"/>
                    </w:rPr>
                    <w:t>改造，</w:t>
                  </w:r>
                  <w:r>
                    <w:rPr>
                      <w:rFonts w:hint="eastAsia" w:ascii="Times New Roman" w:hAnsi="Times New Roman" w:cs="宋体"/>
                      <w:caps w:val="0"/>
                      <w:snapToGrid w:val="0"/>
                      <w:color w:val="auto"/>
                      <w:spacing w:val="0"/>
                      <w:sz w:val="21"/>
                      <w:szCs w:val="21"/>
                      <w:highlight w:val="none"/>
                      <w:lang w:val="en-US" w:eastAsia="zh-CN"/>
                    </w:rPr>
                    <w:t>将此车间的锅炉房称为锅炉房1，</w:t>
                  </w:r>
                  <w:r>
                    <w:rPr>
                      <w:rFonts w:hint="eastAsia" w:ascii="Times New Roman" w:hAnsi="Times New Roman" w:eastAsia="宋体" w:cs="宋体"/>
                      <w:caps w:val="0"/>
                      <w:snapToGrid w:val="0"/>
                      <w:color w:val="auto"/>
                      <w:spacing w:val="0"/>
                      <w:sz w:val="21"/>
                      <w:szCs w:val="21"/>
                      <w:highlight w:val="none"/>
                      <w:lang w:val="en-US" w:eastAsia="zh-CN"/>
                    </w:rPr>
                    <w:t>将</w:t>
                  </w:r>
                  <w:r>
                    <w:rPr>
                      <w:rFonts w:hint="eastAsia" w:ascii="Times New Roman" w:hAnsi="Times New Roman" w:cs="宋体"/>
                      <w:caps w:val="0"/>
                      <w:snapToGrid w:val="0"/>
                      <w:color w:val="auto"/>
                      <w:spacing w:val="0"/>
                      <w:sz w:val="21"/>
                      <w:szCs w:val="21"/>
                      <w:highlight w:val="none"/>
                      <w:lang w:val="en-US" w:eastAsia="zh-CN"/>
                    </w:rPr>
                    <w:t>锅炉房1内的</w:t>
                  </w:r>
                  <w:r>
                    <w:rPr>
                      <w:rFonts w:hint="eastAsia" w:ascii="Times New Roman" w:hAnsi="Times New Roman" w:eastAsia="宋体" w:cs="宋体"/>
                      <w:caps w:val="0"/>
                      <w:snapToGrid w:val="0"/>
                      <w:color w:val="auto"/>
                      <w:spacing w:val="0"/>
                      <w:sz w:val="21"/>
                      <w:szCs w:val="21"/>
                      <w:highlight w:val="none"/>
                      <w:lang w:val="en-US" w:eastAsia="zh-CN"/>
                    </w:rPr>
                    <w:t>原有的生物质</w:t>
                  </w: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snapToGrid w:val="0"/>
                      <w:color w:val="auto"/>
                      <w:spacing w:val="0"/>
                      <w:sz w:val="21"/>
                      <w:szCs w:val="21"/>
                      <w:highlight w:val="none"/>
                      <w:lang w:val="en-US" w:eastAsia="zh-CN"/>
                    </w:rPr>
                    <w:t>改造为燃油</w:t>
                  </w: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snapToGrid w:val="0"/>
                      <w:color w:val="auto"/>
                      <w:spacing w:val="0"/>
                      <w:sz w:val="21"/>
                      <w:szCs w:val="21"/>
                      <w:highlight w:val="none"/>
                      <w:lang w:val="en-US" w:eastAsia="zh-CN"/>
                    </w:rPr>
                    <w:t>，本次改造不拆除原有</w:t>
                  </w: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snapToGrid w:val="0"/>
                      <w:color w:val="auto"/>
                      <w:spacing w:val="0"/>
                      <w:sz w:val="21"/>
                      <w:szCs w:val="21"/>
                      <w:highlight w:val="none"/>
                      <w:lang w:val="en-US" w:eastAsia="zh-CN"/>
                    </w:rPr>
                    <w:t>，在原有生物质</w:t>
                  </w: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snapToGrid w:val="0"/>
                      <w:color w:val="auto"/>
                      <w:spacing w:val="0"/>
                      <w:sz w:val="21"/>
                      <w:szCs w:val="21"/>
                      <w:highlight w:val="none"/>
                      <w:lang w:val="en-US" w:eastAsia="zh-CN"/>
                    </w:rPr>
                    <w:t>上进行改造，新增燃油燃烧器，采用低氮燃烧的方式，环保措施依托现有，</w:t>
                  </w:r>
                  <w:r>
                    <w:rPr>
                      <w:rFonts w:hint="eastAsia" w:ascii="Times New Roman" w:hAnsi="Times New Roman" w:cs="宋体"/>
                      <w:caps w:val="0"/>
                      <w:snapToGrid w:val="0"/>
                      <w:color w:val="auto"/>
                      <w:spacing w:val="0"/>
                      <w:sz w:val="21"/>
                      <w:szCs w:val="21"/>
                      <w:highlight w:val="none"/>
                      <w:lang w:val="en-US" w:eastAsia="zh-CN"/>
                    </w:rPr>
                    <w:t>产生的废气经现有布袋除尘器处理后通过20m高排气筒DA003排放。</w:t>
                  </w:r>
                  <w:r>
                    <w:rPr>
                      <w:rFonts w:hint="eastAsia" w:ascii="Times New Roman" w:hAnsi="Times New Roman" w:eastAsia="宋体" w:cs="宋体"/>
                      <w:caps w:val="0"/>
                      <w:snapToGrid w:val="0"/>
                      <w:color w:val="auto"/>
                      <w:spacing w:val="0"/>
                      <w:sz w:val="21"/>
                      <w:szCs w:val="21"/>
                      <w:highlight w:val="none"/>
                      <w:lang w:val="en-US" w:eastAsia="zh-CN"/>
                    </w:rPr>
                    <w:t>石墨烘干车间建筑面积300m</w:t>
                  </w:r>
                  <w:r>
                    <w:rPr>
                      <w:rFonts w:hint="eastAsia" w:ascii="Times New Roman" w:hAnsi="Times New Roman" w:eastAsia="宋体" w:cs="宋体"/>
                      <w:caps w:val="0"/>
                      <w:snapToGrid w:val="0"/>
                      <w:color w:val="auto"/>
                      <w:spacing w:val="0"/>
                      <w:sz w:val="21"/>
                      <w:szCs w:val="21"/>
                      <w:highlight w:val="none"/>
                      <w:vertAlign w:val="superscript"/>
                      <w:lang w:val="en-US" w:eastAsia="zh-CN"/>
                    </w:rPr>
                    <w:t>2</w:t>
                  </w:r>
                  <w:r>
                    <w:rPr>
                      <w:rFonts w:hint="eastAsia" w:ascii="Times New Roman" w:hAnsi="Times New Roman" w:eastAsia="宋体" w:cs="宋体"/>
                      <w:caps w:val="0"/>
                      <w:snapToGrid w:val="0"/>
                      <w:color w:val="auto"/>
                      <w:spacing w:val="0"/>
                      <w:sz w:val="21"/>
                      <w:szCs w:val="21"/>
                      <w:highlight w:val="none"/>
                      <w:lang w:val="en-US" w:eastAsia="zh-CN"/>
                    </w:rPr>
                    <w:t>，其中锅炉房</w:t>
                  </w:r>
                  <w:r>
                    <w:rPr>
                      <w:rFonts w:hint="eastAsia" w:ascii="Times New Roman" w:hAnsi="Times New Roman" w:cs="宋体"/>
                      <w:caps w:val="0"/>
                      <w:snapToGrid w:val="0"/>
                      <w:color w:val="auto"/>
                      <w:spacing w:val="0"/>
                      <w:sz w:val="21"/>
                      <w:szCs w:val="21"/>
                      <w:highlight w:val="none"/>
                      <w:lang w:val="en-US" w:eastAsia="zh-CN"/>
                    </w:rPr>
                    <w:t>1的</w:t>
                  </w:r>
                  <w:r>
                    <w:rPr>
                      <w:rFonts w:hint="eastAsia" w:ascii="Times New Roman" w:hAnsi="Times New Roman" w:eastAsia="宋体" w:cs="宋体"/>
                      <w:caps w:val="0"/>
                      <w:snapToGrid w:val="0"/>
                      <w:color w:val="auto"/>
                      <w:spacing w:val="0"/>
                      <w:sz w:val="21"/>
                      <w:szCs w:val="21"/>
                      <w:highlight w:val="none"/>
                      <w:lang w:val="en-US" w:eastAsia="zh-CN"/>
                    </w:rPr>
                    <w:t>面积100m</w:t>
                  </w:r>
                  <w:r>
                    <w:rPr>
                      <w:rFonts w:hint="eastAsia" w:ascii="Times New Roman" w:hAnsi="Times New Roman" w:eastAsia="宋体" w:cs="宋体"/>
                      <w:caps w:val="0"/>
                      <w:snapToGrid w:val="0"/>
                      <w:color w:val="auto"/>
                      <w:spacing w:val="0"/>
                      <w:sz w:val="21"/>
                      <w:szCs w:val="21"/>
                      <w:highlight w:val="none"/>
                      <w:vertAlign w:val="superscript"/>
                      <w:lang w:val="en-US" w:eastAsia="zh-CN"/>
                    </w:rPr>
                    <w:t>2</w:t>
                  </w:r>
                  <w:r>
                    <w:rPr>
                      <w:rFonts w:hint="eastAsia" w:ascii="Times New Roman" w:hAnsi="Times New Roman" w:eastAsia="宋体" w:cs="宋体"/>
                      <w:caps w:val="0"/>
                      <w:snapToGrid w:val="0"/>
                      <w:color w:val="auto"/>
                      <w:spacing w:val="0"/>
                      <w:sz w:val="21"/>
                      <w:szCs w:val="21"/>
                      <w:highlight w:val="none"/>
                      <w:lang w:val="en-US" w:eastAsia="zh-CN"/>
                    </w:rPr>
                    <w:t>。</w:t>
                  </w:r>
                </w:p>
              </w:tc>
              <w:tc>
                <w:tcPr>
                  <w:tcW w:w="689" w:type="dxa"/>
                  <w:tcBorders>
                    <w:tl2br w:val="nil"/>
                    <w:tr2bl w:val="nil"/>
                  </w:tcBorders>
                  <w:noWrap w:val="0"/>
                  <w:vAlign w:val="center"/>
                </w:tcPr>
                <w:p w14:paraId="510454AC">
                  <w:pPr>
                    <w:spacing w:line="240" w:lineRule="auto"/>
                    <w:ind w:left="0" w:leftChars="0" w:firstLine="0" w:firstLineChars="0"/>
                    <w:jc w:val="center"/>
                    <w:rPr>
                      <w:rFonts w:hint="default" w:ascii="Times New Roman" w:hAnsi="Times New Roman" w:eastAsia="宋体" w:cs="宋体"/>
                      <w:caps w:val="0"/>
                      <w:snapToGrid w:val="0"/>
                      <w:color w:val="auto"/>
                      <w:spacing w:val="0"/>
                      <w:sz w:val="21"/>
                      <w:szCs w:val="21"/>
                      <w:highlight w:val="no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依托</w:t>
                  </w:r>
                </w:p>
              </w:tc>
            </w:tr>
            <w:tr w14:paraId="110F43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tcBorders>
                    <w:tl2br w:val="nil"/>
                    <w:tr2bl w:val="nil"/>
                  </w:tcBorders>
                  <w:noWrap w:val="0"/>
                  <w:vAlign w:val="center"/>
                </w:tcPr>
                <w:p w14:paraId="35FCC1AA">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r>
                    <w:rPr>
                      <w:rFonts w:hint="default" w:ascii="Times New Roman" w:hAnsi="Times New Roman" w:eastAsia="宋体" w:cs="宋体"/>
                      <w:caps w:val="0"/>
                      <w:snapToGrid w:val="0"/>
                      <w:color w:val="auto"/>
                      <w:spacing w:val="0"/>
                      <w:sz w:val="21"/>
                      <w:szCs w:val="21"/>
                      <w:highlight w:val="none"/>
                      <w:lang w:val="en-US"/>
                    </w:rPr>
                    <w:t>储运工程</w:t>
                  </w:r>
                </w:p>
              </w:tc>
              <w:tc>
                <w:tcPr>
                  <w:tcW w:w="1327" w:type="dxa"/>
                  <w:tcBorders>
                    <w:tl2br w:val="nil"/>
                    <w:tr2bl w:val="nil"/>
                  </w:tcBorders>
                  <w:noWrap w:val="0"/>
                  <w:vAlign w:val="center"/>
                </w:tcPr>
                <w:p w14:paraId="65C27E20">
                  <w:pPr>
                    <w:pStyle w:val="70"/>
                    <w:spacing w:line="240" w:lineRule="auto"/>
                    <w:jc w:val="center"/>
                    <w:rPr>
                      <w:rFonts w:hint="default" w:ascii="Times New Roman" w:hAnsi="Times New Roman" w:eastAsia="宋体" w:cs="宋体"/>
                      <w:caps w:val="0"/>
                      <w:snapToGrid w:val="0"/>
                      <w:spacing w:val="0"/>
                      <w:sz w:val="21"/>
                      <w:szCs w:val="21"/>
                      <w:highlight w:val="none"/>
                      <w:lang w:val="en-US" w:eastAsia="zh-CN"/>
                    </w:rPr>
                  </w:pPr>
                  <w:r>
                    <w:rPr>
                      <w:rFonts w:hint="eastAsia" w:ascii="Times New Roman" w:hAnsi="Times New Roman" w:eastAsia="宋体" w:cs="宋体"/>
                      <w:caps w:val="0"/>
                      <w:color w:val="auto"/>
                      <w:highlight w:val="none"/>
                      <w:lang w:val="en-US" w:eastAsia="zh-CN"/>
                    </w:rPr>
                    <w:t>燃料罐</w:t>
                  </w:r>
                </w:p>
              </w:tc>
              <w:tc>
                <w:tcPr>
                  <w:tcW w:w="4498" w:type="dxa"/>
                  <w:tcBorders>
                    <w:tl2br w:val="nil"/>
                    <w:tr2bl w:val="nil"/>
                  </w:tcBorders>
                  <w:noWrap w:val="0"/>
                  <w:vAlign w:val="center"/>
                </w:tcPr>
                <w:p w14:paraId="7EDF2AB1">
                  <w:pPr>
                    <w:pStyle w:val="70"/>
                    <w:spacing w:line="240" w:lineRule="auto"/>
                    <w:jc w:val="center"/>
                    <w:rPr>
                      <w:rFonts w:hint="default"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spacing w:val="0"/>
                      <w:sz w:val="21"/>
                      <w:szCs w:val="21"/>
                      <w:highlight w:val="none"/>
                      <w:lang w:val="en-US" w:eastAsia="zh-CN"/>
                    </w:rPr>
                    <w:t>在</w:t>
                  </w:r>
                  <w:r>
                    <w:rPr>
                      <w:rFonts w:hint="eastAsia" w:ascii="Times New Roman" w:hAnsi="Times New Roman" w:eastAsia="宋体" w:cs="宋体"/>
                      <w:caps w:val="0"/>
                      <w:snapToGrid w:val="0"/>
                      <w:color w:val="auto"/>
                      <w:spacing w:val="0"/>
                      <w:sz w:val="21"/>
                      <w:szCs w:val="21"/>
                      <w:highlight w:val="none"/>
                      <w:lang w:val="en-US" w:eastAsia="zh-CN"/>
                    </w:rPr>
                    <w:t>厂区南侧设燃料罐用于贮存轻质柴油，</w:t>
                  </w:r>
                  <w:r>
                    <w:rPr>
                      <w:rFonts w:hint="eastAsia" w:cs="宋体"/>
                      <w:caps w:val="0"/>
                      <w:snapToGrid w:val="0"/>
                      <w:color w:val="auto"/>
                      <w:spacing w:val="0"/>
                      <w:sz w:val="21"/>
                      <w:szCs w:val="21"/>
                      <w:highlight w:val="none"/>
                      <w:lang w:val="en-US" w:eastAsia="zh-CN"/>
                    </w:rPr>
                    <w:t>设立2座燃料储罐，其中一座为应急储罐，储罐材质为碳钢。本项目使用的</w:t>
                  </w:r>
                  <w:r>
                    <w:rPr>
                      <w:rFonts w:hint="eastAsia" w:ascii="Times New Roman" w:hAnsi="Times New Roman" w:eastAsia="宋体" w:cs="宋体"/>
                      <w:caps w:val="0"/>
                      <w:snapToGrid w:val="0"/>
                      <w:color w:val="auto"/>
                      <w:spacing w:val="0"/>
                      <w:sz w:val="21"/>
                      <w:szCs w:val="21"/>
                      <w:highlight w:val="none"/>
                      <w:lang w:val="en-US" w:eastAsia="zh-CN"/>
                    </w:rPr>
                    <w:t>储罐的储存能力为5吨</w:t>
                  </w:r>
                  <w:r>
                    <w:rPr>
                      <w:rFonts w:hint="eastAsia" w:cs="宋体"/>
                      <w:caps w:val="0"/>
                      <w:snapToGrid w:val="0"/>
                      <w:color w:val="auto"/>
                      <w:spacing w:val="0"/>
                      <w:sz w:val="21"/>
                      <w:szCs w:val="21"/>
                      <w:highlight w:val="none"/>
                      <w:lang w:val="en-US" w:eastAsia="zh-CN"/>
                    </w:rPr>
                    <w:t>（6.5m</w:t>
                  </w:r>
                  <w:r>
                    <w:rPr>
                      <w:rFonts w:hint="eastAsia" w:cs="宋体"/>
                      <w:caps w:val="0"/>
                      <w:snapToGrid w:val="0"/>
                      <w:color w:val="auto"/>
                      <w:spacing w:val="0"/>
                      <w:sz w:val="21"/>
                      <w:szCs w:val="21"/>
                      <w:highlight w:val="none"/>
                      <w:vertAlign w:val="superscript"/>
                      <w:lang w:val="en-US" w:eastAsia="zh-CN"/>
                    </w:rPr>
                    <w:t>3</w:t>
                  </w:r>
                  <w:r>
                    <w:rPr>
                      <w:rFonts w:hint="eastAsia" w:ascii="Times New Roman" w:hAnsi="Times New Roman" w:eastAsia="宋体" w:cs="宋体"/>
                      <w:caps w:val="0"/>
                      <w:snapToGrid w:val="0"/>
                      <w:color w:val="auto"/>
                      <w:spacing w:val="0"/>
                      <w:sz w:val="21"/>
                      <w:szCs w:val="21"/>
                      <w:highlight w:val="none"/>
                      <w:lang w:val="en-US" w:eastAsia="zh-CN"/>
                    </w:rPr>
                    <w:t>，</w:t>
                  </w:r>
                  <w:r>
                    <w:rPr>
                      <w:rFonts w:hint="eastAsia" w:cs="宋体"/>
                      <w:caps w:val="0"/>
                      <w:snapToGrid w:val="0"/>
                      <w:color w:val="auto"/>
                      <w:spacing w:val="0"/>
                      <w:sz w:val="21"/>
                      <w:szCs w:val="21"/>
                      <w:highlight w:val="none"/>
                      <w:lang w:val="en-US" w:eastAsia="zh-CN"/>
                    </w:rPr>
                    <w:t>留有10%的安全余量），应急储罐的储存能力为7.15m</w:t>
                  </w:r>
                  <w:r>
                    <w:rPr>
                      <w:rFonts w:hint="eastAsia" w:cs="宋体"/>
                      <w:caps w:val="0"/>
                      <w:snapToGrid w:val="0"/>
                      <w:color w:val="auto"/>
                      <w:spacing w:val="0"/>
                      <w:sz w:val="21"/>
                      <w:szCs w:val="21"/>
                      <w:highlight w:val="none"/>
                      <w:vertAlign w:val="superscript"/>
                      <w:lang w:val="en-US" w:eastAsia="zh-CN"/>
                    </w:rPr>
                    <w:t>3</w:t>
                  </w:r>
                  <w:r>
                    <w:rPr>
                      <w:rFonts w:hint="eastAsia" w:cs="宋体"/>
                      <w:caps w:val="0"/>
                      <w:snapToGrid w:val="0"/>
                      <w:color w:val="auto"/>
                      <w:spacing w:val="0"/>
                      <w:sz w:val="21"/>
                      <w:szCs w:val="21"/>
                      <w:highlight w:val="none"/>
                      <w:lang w:val="en-US" w:eastAsia="zh-CN"/>
                    </w:rPr>
                    <w:t>。6.5m</w:t>
                  </w:r>
                  <w:r>
                    <w:rPr>
                      <w:rFonts w:hint="eastAsia" w:cs="宋体"/>
                      <w:caps w:val="0"/>
                      <w:snapToGrid w:val="0"/>
                      <w:color w:val="auto"/>
                      <w:spacing w:val="0"/>
                      <w:sz w:val="21"/>
                      <w:szCs w:val="21"/>
                      <w:highlight w:val="none"/>
                      <w:vertAlign w:val="superscript"/>
                      <w:lang w:val="en-US" w:eastAsia="zh-CN"/>
                    </w:rPr>
                    <w:t>3</w:t>
                  </w:r>
                  <w:r>
                    <w:rPr>
                      <w:rFonts w:hint="eastAsia" w:cs="宋体"/>
                      <w:caps w:val="0"/>
                      <w:snapToGrid w:val="0"/>
                      <w:color w:val="auto"/>
                      <w:spacing w:val="0"/>
                      <w:sz w:val="21"/>
                      <w:szCs w:val="21"/>
                      <w:highlight w:val="none"/>
                      <w:vertAlign w:val="baseline"/>
                      <w:lang w:val="en-US" w:eastAsia="zh-CN"/>
                    </w:rPr>
                    <w:t>的燃料储罐</w:t>
                  </w:r>
                  <w:r>
                    <w:rPr>
                      <w:rFonts w:hint="eastAsia" w:ascii="Times New Roman" w:hAnsi="Times New Roman" w:eastAsia="宋体" w:cs="宋体"/>
                      <w:caps w:val="0"/>
                      <w:snapToGrid w:val="0"/>
                      <w:color w:val="auto"/>
                      <w:spacing w:val="0"/>
                      <w:sz w:val="21"/>
                      <w:szCs w:val="21"/>
                      <w:highlight w:val="none"/>
                      <w:lang w:val="en-US" w:eastAsia="zh-CN"/>
                    </w:rPr>
                    <w:t>可满足</w:t>
                  </w: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snapToGrid w:val="0"/>
                      <w:color w:val="auto"/>
                      <w:spacing w:val="0"/>
                      <w:sz w:val="21"/>
                      <w:szCs w:val="21"/>
                      <w:highlight w:val="none"/>
                      <w:lang w:val="en-US" w:eastAsia="zh-CN"/>
                    </w:rPr>
                    <w:t>3天燃料需求。燃料罐为地上储罐。储罐周围设有围堰</w:t>
                  </w:r>
                  <w:r>
                    <w:rPr>
                      <w:rFonts w:hint="eastAsia" w:cs="宋体"/>
                      <w:caps w:val="0"/>
                      <w:snapToGrid w:val="0"/>
                      <w:color w:val="auto"/>
                      <w:spacing w:val="0"/>
                      <w:sz w:val="21"/>
                      <w:szCs w:val="21"/>
                      <w:highlight w:val="none"/>
                      <w:lang w:val="en-US" w:eastAsia="zh-CN"/>
                    </w:rPr>
                    <w:t>（1.2m高）</w:t>
                  </w:r>
                  <w:r>
                    <w:rPr>
                      <w:rFonts w:hint="eastAsia" w:ascii="Times New Roman" w:hAnsi="Times New Roman" w:eastAsia="宋体" w:cs="宋体"/>
                      <w:caps w:val="0"/>
                      <w:snapToGrid w:val="0"/>
                      <w:color w:val="auto"/>
                      <w:spacing w:val="0"/>
                      <w:sz w:val="21"/>
                      <w:szCs w:val="21"/>
                      <w:highlight w:val="none"/>
                      <w:lang w:val="en-US" w:eastAsia="zh-CN"/>
                    </w:rPr>
                    <w:t>，</w:t>
                  </w:r>
                  <w:r>
                    <w:rPr>
                      <w:rFonts w:hint="eastAsia" w:cs="宋体"/>
                      <w:caps w:val="0"/>
                      <w:snapToGrid w:val="0"/>
                      <w:color w:val="auto"/>
                      <w:spacing w:val="0"/>
                      <w:sz w:val="21"/>
                      <w:szCs w:val="21"/>
                      <w:highlight w:val="none"/>
                      <w:lang w:val="en-US" w:eastAsia="zh-CN"/>
                    </w:rPr>
                    <w:t>围堰有效容积7m</w:t>
                  </w:r>
                  <w:r>
                    <w:rPr>
                      <w:rFonts w:hint="eastAsia" w:cs="宋体"/>
                      <w:caps w:val="0"/>
                      <w:snapToGrid w:val="0"/>
                      <w:color w:val="auto"/>
                      <w:spacing w:val="0"/>
                      <w:sz w:val="21"/>
                      <w:szCs w:val="21"/>
                      <w:highlight w:val="none"/>
                      <w:vertAlign w:val="superscript"/>
                      <w:lang w:val="en-US" w:eastAsia="zh-CN"/>
                    </w:rPr>
                    <w:t>3</w:t>
                  </w:r>
                  <w:r>
                    <w:rPr>
                      <w:rFonts w:hint="eastAsia" w:ascii="Times New Roman" w:hAnsi="Times New Roman" w:eastAsia="宋体" w:cs="宋体"/>
                      <w:caps w:val="0"/>
                      <w:snapToGrid w:val="0"/>
                      <w:color w:val="auto"/>
                      <w:spacing w:val="0"/>
                      <w:sz w:val="21"/>
                      <w:szCs w:val="21"/>
                      <w:highlight w:val="none"/>
                      <w:lang w:val="en-US" w:eastAsia="zh-CN"/>
                    </w:rPr>
                    <w:t>，</w:t>
                  </w:r>
                  <w:r>
                    <w:rPr>
                      <w:rFonts w:hint="eastAsia" w:cs="宋体"/>
                      <w:caps w:val="0"/>
                      <w:snapToGrid w:val="0"/>
                      <w:color w:val="auto"/>
                      <w:spacing w:val="0"/>
                      <w:sz w:val="21"/>
                      <w:szCs w:val="21"/>
                      <w:highlight w:val="none"/>
                      <w:lang w:val="en-US" w:eastAsia="zh-CN"/>
                    </w:rPr>
                    <w:t>并设有导流槽。设有输油管道，采用地上架空敷设，支架采用角钢、槽钢制作的管架或管托支撑管道。在储罐北侧设立事故池，事故池容积为19.5m</w:t>
                  </w:r>
                  <w:r>
                    <w:rPr>
                      <w:rFonts w:hint="eastAsia" w:cs="宋体"/>
                      <w:caps w:val="0"/>
                      <w:snapToGrid w:val="0"/>
                      <w:color w:val="auto"/>
                      <w:spacing w:val="0"/>
                      <w:sz w:val="21"/>
                      <w:szCs w:val="21"/>
                      <w:highlight w:val="none"/>
                      <w:vertAlign w:val="superscript"/>
                      <w:lang w:val="en-US" w:eastAsia="zh-CN"/>
                    </w:rPr>
                    <w:t>3</w:t>
                  </w:r>
                  <w:r>
                    <w:rPr>
                      <w:rFonts w:hint="eastAsia" w:cs="宋体"/>
                      <w:caps w:val="0"/>
                      <w:snapToGrid w:val="0"/>
                      <w:color w:val="auto"/>
                      <w:spacing w:val="0"/>
                      <w:sz w:val="21"/>
                      <w:szCs w:val="21"/>
                      <w:highlight w:val="none"/>
                      <w:lang w:val="en-US" w:eastAsia="zh-CN"/>
                    </w:rPr>
                    <w:t>，用于消防废水和泄漏废料的储存。事故池、</w:t>
                  </w:r>
                  <w:r>
                    <w:rPr>
                      <w:rFonts w:hint="eastAsia" w:ascii="Times New Roman" w:hAnsi="Times New Roman" w:eastAsia="宋体" w:cs="宋体"/>
                      <w:caps w:val="0"/>
                      <w:snapToGrid w:val="0"/>
                      <w:color w:val="auto"/>
                      <w:spacing w:val="0"/>
                      <w:sz w:val="21"/>
                      <w:szCs w:val="21"/>
                      <w:highlight w:val="none"/>
                      <w:lang w:val="en-US" w:eastAsia="zh-CN"/>
                    </w:rPr>
                    <w:t>储罐地面采用硬化措施，地面和裙脚采用高密度聚乙烯膜（HDPE）进行基础防渗措施，防渗技术要求达到等效粘土防渗层Mb≥2.0mm，K≤1×10</w:t>
                  </w:r>
                  <w:r>
                    <w:rPr>
                      <w:rFonts w:hint="eastAsia" w:ascii="Times New Roman" w:hAnsi="Times New Roman" w:eastAsia="宋体" w:cs="宋体"/>
                      <w:caps w:val="0"/>
                      <w:snapToGrid w:val="0"/>
                      <w:color w:val="auto"/>
                      <w:spacing w:val="0"/>
                      <w:sz w:val="21"/>
                      <w:szCs w:val="21"/>
                      <w:highlight w:val="none"/>
                      <w:vertAlign w:val="superscript"/>
                      <w:lang w:val="en-US" w:eastAsia="zh-CN"/>
                    </w:rPr>
                    <w:t>-10</w:t>
                  </w:r>
                  <w:r>
                    <w:rPr>
                      <w:rFonts w:hint="eastAsia" w:ascii="Times New Roman" w:hAnsi="Times New Roman" w:eastAsia="宋体" w:cs="宋体"/>
                      <w:caps w:val="0"/>
                      <w:snapToGrid w:val="0"/>
                      <w:color w:val="auto"/>
                      <w:spacing w:val="0"/>
                      <w:sz w:val="21"/>
                      <w:szCs w:val="21"/>
                      <w:highlight w:val="none"/>
                      <w:lang w:val="en-US" w:eastAsia="zh-CN"/>
                    </w:rPr>
                    <w:t>cm/s，防渗措施满足重点防渗要求。</w:t>
                  </w:r>
                </w:p>
              </w:tc>
              <w:tc>
                <w:tcPr>
                  <w:tcW w:w="689" w:type="dxa"/>
                  <w:tcBorders>
                    <w:tl2br w:val="nil"/>
                    <w:tr2bl w:val="nil"/>
                  </w:tcBorders>
                  <w:noWrap w:val="0"/>
                  <w:vAlign w:val="center"/>
                </w:tcPr>
                <w:p w14:paraId="32FB7194">
                  <w:pPr>
                    <w:pStyle w:val="70"/>
                    <w:spacing w:line="240" w:lineRule="auto"/>
                    <w:jc w:val="center"/>
                    <w:rPr>
                      <w:rFonts w:hint="default"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spacing w:val="0"/>
                      <w:sz w:val="21"/>
                      <w:szCs w:val="21"/>
                      <w:highlight w:val="none"/>
                      <w:lang w:val="en-US" w:eastAsia="zh-CN"/>
                    </w:rPr>
                    <w:t>新建</w:t>
                  </w:r>
                </w:p>
              </w:tc>
            </w:tr>
            <w:tr w14:paraId="470CA5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restart"/>
                  <w:tcBorders>
                    <w:tl2br w:val="nil"/>
                    <w:tr2bl w:val="nil"/>
                  </w:tcBorders>
                  <w:noWrap w:val="0"/>
                  <w:vAlign w:val="center"/>
                </w:tcPr>
                <w:p w14:paraId="0C34CC81">
                  <w:pPr>
                    <w:pStyle w:val="70"/>
                    <w:spacing w:line="240" w:lineRule="auto"/>
                    <w:jc w:val="center"/>
                    <w:rPr>
                      <w:rFonts w:hint="default" w:ascii="Times New Roman" w:hAnsi="Times New Roman" w:eastAsia="宋体" w:cs="宋体"/>
                      <w:caps w:val="0"/>
                      <w:snapToGrid w:val="0"/>
                      <w:spacing w:val="0"/>
                      <w:sz w:val="21"/>
                      <w:szCs w:val="21"/>
                      <w:highlight w:val="none"/>
                    </w:rPr>
                  </w:pPr>
                  <w:r>
                    <w:rPr>
                      <w:rFonts w:hint="default" w:ascii="Times New Roman" w:hAnsi="Times New Roman" w:eastAsia="宋体" w:cs="宋体"/>
                      <w:caps w:val="0"/>
                      <w:snapToGrid w:val="0"/>
                      <w:spacing w:val="0"/>
                      <w:sz w:val="21"/>
                      <w:szCs w:val="21"/>
                      <w:highlight w:val="none"/>
                    </w:rPr>
                    <w:t>公用工程</w:t>
                  </w:r>
                </w:p>
              </w:tc>
              <w:tc>
                <w:tcPr>
                  <w:tcW w:w="1327" w:type="dxa"/>
                  <w:tcBorders>
                    <w:tl2br w:val="nil"/>
                    <w:tr2bl w:val="nil"/>
                  </w:tcBorders>
                  <w:noWrap w:val="0"/>
                  <w:vAlign w:val="center"/>
                </w:tcPr>
                <w:p w14:paraId="6C9D31AC">
                  <w:pPr>
                    <w:pStyle w:val="70"/>
                    <w:spacing w:line="240" w:lineRule="auto"/>
                    <w:jc w:val="center"/>
                    <w:rPr>
                      <w:rFonts w:hint="default" w:ascii="Times New Roman" w:hAnsi="Times New Roman" w:eastAsia="宋体" w:cs="宋体"/>
                      <w:caps w:val="0"/>
                      <w:snapToGrid w:val="0"/>
                      <w:spacing w:val="0"/>
                      <w:sz w:val="21"/>
                      <w:szCs w:val="21"/>
                      <w:highlight w:val="none"/>
                    </w:rPr>
                  </w:pPr>
                  <w:r>
                    <w:rPr>
                      <w:rFonts w:hint="default" w:ascii="Times New Roman" w:hAnsi="Times New Roman" w:eastAsia="宋体" w:cs="宋体"/>
                      <w:caps w:val="0"/>
                      <w:snapToGrid w:val="0"/>
                      <w:spacing w:val="0"/>
                      <w:sz w:val="21"/>
                      <w:szCs w:val="21"/>
                      <w:highlight w:val="none"/>
                      <w:lang w:val="en-US"/>
                    </w:rPr>
                    <w:t>供水</w:t>
                  </w:r>
                </w:p>
              </w:tc>
              <w:tc>
                <w:tcPr>
                  <w:tcW w:w="4498" w:type="dxa"/>
                  <w:tcBorders>
                    <w:tl2br w:val="nil"/>
                    <w:tr2bl w:val="nil"/>
                  </w:tcBorders>
                  <w:noWrap w:val="0"/>
                  <w:vAlign w:val="center"/>
                </w:tcPr>
                <w:p w14:paraId="1AF34F98">
                  <w:pPr>
                    <w:pStyle w:val="70"/>
                    <w:spacing w:line="240" w:lineRule="auto"/>
                    <w:jc w:val="center"/>
                    <w:rPr>
                      <w:rFonts w:hint="default" w:ascii="Times New Roman" w:hAnsi="Times New Roman" w:eastAsia="宋体" w:cs="宋体"/>
                      <w:caps w:val="0"/>
                      <w:snapToGrid w:val="0"/>
                      <w:spacing w:val="0"/>
                      <w:sz w:val="21"/>
                      <w:szCs w:val="21"/>
                      <w:highlight w:val="none"/>
                      <w:lang w:val="en-US" w:eastAsia="zh-CN"/>
                    </w:rPr>
                  </w:pPr>
                  <w:r>
                    <w:rPr>
                      <w:rFonts w:hint="eastAsia" w:ascii="Times New Roman" w:hAnsi="Times New Roman" w:eastAsia="宋体" w:cs="宋体"/>
                      <w:caps w:val="0"/>
                      <w:snapToGrid w:val="0"/>
                      <w:spacing w:val="0"/>
                      <w:sz w:val="21"/>
                      <w:szCs w:val="21"/>
                      <w:highlight w:val="none"/>
                      <w:lang w:val="en-US" w:eastAsia="zh-CN"/>
                    </w:rPr>
                    <w:t>本项目</w:t>
                  </w:r>
                  <w:r>
                    <w:rPr>
                      <w:rFonts w:hint="eastAsia" w:ascii="Times New Roman" w:hAnsi="Times New Roman" w:eastAsia="宋体" w:cs="宋体"/>
                      <w:caps w:val="0"/>
                      <w:snapToGrid w:val="0"/>
                      <w:spacing w:val="0"/>
                      <w:sz w:val="21"/>
                      <w:szCs w:val="21"/>
                      <w:highlight w:val="none"/>
                      <w:lang w:val="en-US" w:eastAsia="zh-CN"/>
                    </w:rPr>
                    <w:t>导热油炉</w:t>
                  </w:r>
                  <w:r>
                    <w:rPr>
                      <w:rFonts w:hint="eastAsia" w:ascii="Times New Roman" w:hAnsi="Times New Roman" w:eastAsia="宋体" w:cs="宋体"/>
                      <w:caps w:val="0"/>
                      <w:snapToGrid w:val="0"/>
                      <w:spacing w:val="0"/>
                      <w:sz w:val="21"/>
                      <w:szCs w:val="21"/>
                      <w:highlight w:val="none"/>
                      <w:lang w:val="en-US" w:eastAsia="zh-CN"/>
                    </w:rPr>
                    <w:t>使用导热油作为导热介质，不使用水，本项目不新增劳动定员，不新增生活用水。</w:t>
                  </w:r>
                </w:p>
              </w:tc>
              <w:tc>
                <w:tcPr>
                  <w:tcW w:w="689" w:type="dxa"/>
                  <w:tcBorders>
                    <w:tl2br w:val="nil"/>
                    <w:tr2bl w:val="nil"/>
                  </w:tcBorders>
                  <w:noWrap w:val="0"/>
                  <w:vAlign w:val="center"/>
                </w:tcPr>
                <w:p w14:paraId="61765717">
                  <w:pPr>
                    <w:pStyle w:val="70"/>
                    <w:spacing w:line="240" w:lineRule="auto"/>
                    <w:jc w:val="center"/>
                    <w:rPr>
                      <w:rFonts w:hint="default" w:ascii="Times New Roman" w:hAnsi="Times New Roman" w:eastAsia="宋体" w:cs="宋体"/>
                      <w:caps w:val="0"/>
                      <w:snapToGrid w:val="0"/>
                      <w:spacing w:val="0"/>
                      <w:sz w:val="21"/>
                      <w:szCs w:val="21"/>
                      <w:highlight w:val="none"/>
                      <w:lang w:val="en-US" w:eastAsia="zh-CN"/>
                    </w:rPr>
                  </w:pPr>
                  <w:r>
                    <w:rPr>
                      <w:rFonts w:hint="eastAsia" w:ascii="Times New Roman" w:hAnsi="Times New Roman" w:eastAsia="宋体" w:cs="宋体"/>
                      <w:caps w:val="0"/>
                      <w:snapToGrid w:val="0"/>
                      <w:spacing w:val="0"/>
                      <w:sz w:val="21"/>
                      <w:szCs w:val="21"/>
                      <w:highlight w:val="none"/>
                      <w:lang w:val="en-US" w:eastAsia="zh-CN"/>
                    </w:rPr>
                    <w:t>/</w:t>
                  </w:r>
                </w:p>
              </w:tc>
            </w:tr>
            <w:tr w14:paraId="2BA446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tcBorders>
                    <w:tl2br w:val="nil"/>
                    <w:tr2bl w:val="nil"/>
                  </w:tcBorders>
                  <w:noWrap w:val="0"/>
                  <w:vAlign w:val="center"/>
                </w:tcPr>
                <w:p w14:paraId="1BC250A9">
                  <w:pPr>
                    <w:pStyle w:val="70"/>
                    <w:spacing w:line="240" w:lineRule="auto"/>
                    <w:jc w:val="center"/>
                    <w:rPr>
                      <w:rFonts w:hint="default" w:ascii="Times New Roman" w:hAnsi="Times New Roman" w:eastAsia="宋体" w:cs="宋体"/>
                      <w:caps w:val="0"/>
                      <w:snapToGrid w:val="0"/>
                      <w:spacing w:val="0"/>
                      <w:sz w:val="21"/>
                      <w:szCs w:val="21"/>
                      <w:highlight w:val="none"/>
                    </w:rPr>
                  </w:pPr>
                </w:p>
              </w:tc>
              <w:tc>
                <w:tcPr>
                  <w:tcW w:w="1327" w:type="dxa"/>
                  <w:tcBorders>
                    <w:tl2br w:val="nil"/>
                    <w:tr2bl w:val="nil"/>
                  </w:tcBorders>
                  <w:noWrap w:val="0"/>
                  <w:vAlign w:val="center"/>
                </w:tcPr>
                <w:p w14:paraId="52D2A014">
                  <w:pPr>
                    <w:pStyle w:val="70"/>
                    <w:spacing w:line="240" w:lineRule="auto"/>
                    <w:jc w:val="center"/>
                    <w:rPr>
                      <w:rFonts w:hint="default" w:ascii="Times New Roman" w:hAnsi="Times New Roman" w:eastAsia="宋体" w:cs="宋体"/>
                      <w:caps w:val="0"/>
                      <w:snapToGrid w:val="0"/>
                      <w:spacing w:val="0"/>
                      <w:sz w:val="21"/>
                      <w:szCs w:val="21"/>
                      <w:highlight w:val="none"/>
                      <w:lang w:val="en-US"/>
                    </w:rPr>
                  </w:pPr>
                  <w:r>
                    <w:rPr>
                      <w:rFonts w:hint="default" w:ascii="Times New Roman" w:hAnsi="Times New Roman" w:eastAsia="宋体" w:cs="宋体"/>
                      <w:caps w:val="0"/>
                      <w:snapToGrid w:val="0"/>
                      <w:spacing w:val="0"/>
                      <w:sz w:val="21"/>
                      <w:szCs w:val="21"/>
                      <w:highlight w:val="none"/>
                      <w:lang w:val="en-US"/>
                    </w:rPr>
                    <w:t>排水</w:t>
                  </w:r>
                </w:p>
              </w:tc>
              <w:tc>
                <w:tcPr>
                  <w:tcW w:w="4498" w:type="dxa"/>
                  <w:tcBorders>
                    <w:tl2br w:val="nil"/>
                    <w:tr2bl w:val="nil"/>
                  </w:tcBorders>
                  <w:noWrap w:val="0"/>
                  <w:vAlign w:val="center"/>
                </w:tcPr>
                <w:p w14:paraId="239E4166">
                  <w:pPr>
                    <w:pStyle w:val="70"/>
                    <w:spacing w:line="240" w:lineRule="auto"/>
                    <w:jc w:val="center"/>
                    <w:rPr>
                      <w:rFonts w:hint="default" w:ascii="Times New Roman" w:hAnsi="Times New Roman" w:eastAsia="宋体" w:cs="宋体"/>
                      <w:caps w:val="0"/>
                      <w:snapToGrid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本项目不产生外排废水</w:t>
                  </w:r>
                </w:p>
              </w:tc>
              <w:tc>
                <w:tcPr>
                  <w:tcW w:w="689" w:type="dxa"/>
                  <w:tcBorders>
                    <w:tl2br w:val="nil"/>
                    <w:tr2bl w:val="nil"/>
                  </w:tcBorders>
                  <w:noWrap w:val="0"/>
                  <w:vAlign w:val="center"/>
                </w:tcPr>
                <w:p w14:paraId="40287954">
                  <w:pPr>
                    <w:pStyle w:val="70"/>
                    <w:spacing w:line="240" w:lineRule="auto"/>
                    <w:jc w:val="center"/>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w:t>
                  </w:r>
                </w:p>
              </w:tc>
            </w:tr>
            <w:tr w14:paraId="1FB479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tcBorders>
                    <w:tl2br w:val="nil"/>
                    <w:tr2bl w:val="nil"/>
                  </w:tcBorders>
                  <w:noWrap w:val="0"/>
                  <w:vAlign w:val="center"/>
                </w:tcPr>
                <w:p w14:paraId="727145E6">
                  <w:pPr>
                    <w:pStyle w:val="70"/>
                    <w:spacing w:line="240" w:lineRule="auto"/>
                    <w:jc w:val="center"/>
                    <w:rPr>
                      <w:rFonts w:hint="default" w:ascii="Times New Roman" w:hAnsi="Times New Roman" w:eastAsia="宋体" w:cs="宋体"/>
                      <w:caps w:val="0"/>
                      <w:snapToGrid w:val="0"/>
                      <w:spacing w:val="0"/>
                      <w:sz w:val="21"/>
                      <w:szCs w:val="21"/>
                      <w:highlight w:val="none"/>
                    </w:rPr>
                  </w:pPr>
                </w:p>
              </w:tc>
              <w:tc>
                <w:tcPr>
                  <w:tcW w:w="1327" w:type="dxa"/>
                  <w:tcBorders>
                    <w:tl2br w:val="nil"/>
                    <w:tr2bl w:val="nil"/>
                  </w:tcBorders>
                  <w:noWrap w:val="0"/>
                  <w:vAlign w:val="center"/>
                </w:tcPr>
                <w:p w14:paraId="1A07A8D8">
                  <w:pPr>
                    <w:pStyle w:val="70"/>
                    <w:spacing w:line="240" w:lineRule="auto"/>
                    <w:jc w:val="center"/>
                    <w:rPr>
                      <w:rFonts w:hint="default" w:ascii="Times New Roman" w:hAnsi="Times New Roman" w:eastAsia="宋体" w:cs="宋体"/>
                      <w:caps w:val="0"/>
                      <w:snapToGrid w:val="0"/>
                      <w:spacing w:val="0"/>
                      <w:sz w:val="21"/>
                      <w:szCs w:val="21"/>
                      <w:highlight w:val="none"/>
                    </w:rPr>
                  </w:pPr>
                  <w:r>
                    <w:rPr>
                      <w:rFonts w:hint="default" w:ascii="Times New Roman" w:hAnsi="Times New Roman" w:eastAsia="宋体" w:cs="宋体"/>
                      <w:caps w:val="0"/>
                      <w:snapToGrid w:val="0"/>
                      <w:spacing w:val="0"/>
                      <w:sz w:val="21"/>
                      <w:szCs w:val="21"/>
                      <w:highlight w:val="none"/>
                    </w:rPr>
                    <w:t>供电</w:t>
                  </w:r>
                </w:p>
              </w:tc>
              <w:tc>
                <w:tcPr>
                  <w:tcW w:w="4498" w:type="dxa"/>
                  <w:tcBorders>
                    <w:tl2br w:val="nil"/>
                    <w:tr2bl w:val="nil"/>
                  </w:tcBorders>
                  <w:noWrap w:val="0"/>
                  <w:vAlign w:val="center"/>
                </w:tcPr>
                <w:p w14:paraId="07F0FBFA">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r>
                    <w:rPr>
                      <w:rFonts w:hint="default" w:ascii="Times New Roman" w:hAnsi="Times New Roman" w:eastAsia="宋体" w:cs="宋体"/>
                      <w:caps w:val="0"/>
                      <w:snapToGrid w:val="0"/>
                      <w:color w:val="auto"/>
                      <w:spacing w:val="0"/>
                      <w:sz w:val="21"/>
                      <w:szCs w:val="21"/>
                      <w:highlight w:val="none"/>
                    </w:rPr>
                    <w:t>由</w:t>
                  </w:r>
                  <w:r>
                    <w:rPr>
                      <w:rFonts w:hint="default" w:ascii="Times New Roman" w:hAnsi="Times New Roman" w:eastAsia="宋体" w:cs="宋体"/>
                      <w:caps w:val="0"/>
                      <w:snapToGrid w:val="0"/>
                      <w:color w:val="auto"/>
                      <w:spacing w:val="0"/>
                      <w:sz w:val="21"/>
                      <w:szCs w:val="21"/>
                      <w:highlight w:val="none"/>
                      <w:lang w:val="en-US" w:eastAsia="zh-CN"/>
                    </w:rPr>
                    <w:t>园区</w:t>
                  </w:r>
                  <w:r>
                    <w:rPr>
                      <w:rFonts w:hint="default" w:ascii="Times New Roman" w:hAnsi="Times New Roman" w:eastAsia="宋体" w:cs="宋体"/>
                      <w:caps w:val="0"/>
                      <w:snapToGrid w:val="0"/>
                      <w:color w:val="auto"/>
                      <w:spacing w:val="0"/>
                      <w:sz w:val="21"/>
                      <w:szCs w:val="21"/>
                      <w:highlight w:val="none"/>
                    </w:rPr>
                    <w:t>市政供电管网统一供给。</w:t>
                  </w:r>
                </w:p>
              </w:tc>
              <w:tc>
                <w:tcPr>
                  <w:tcW w:w="689" w:type="dxa"/>
                  <w:tcBorders>
                    <w:tl2br w:val="nil"/>
                    <w:tr2bl w:val="nil"/>
                  </w:tcBorders>
                  <w:noWrap w:val="0"/>
                  <w:vAlign w:val="center"/>
                </w:tcPr>
                <w:p w14:paraId="7C851EFC">
                  <w:pPr>
                    <w:pStyle w:val="70"/>
                    <w:spacing w:line="240" w:lineRule="auto"/>
                    <w:jc w:val="center"/>
                    <w:rPr>
                      <w:rFonts w:hint="default" w:ascii="Times New Roman" w:hAnsi="Times New Roman" w:eastAsia="宋体" w:cs="宋体"/>
                      <w:caps w:val="0"/>
                      <w:snapToGrid w:val="0"/>
                      <w:color w:val="auto"/>
                      <w:spacing w:val="0"/>
                      <w:sz w:val="21"/>
                      <w:szCs w:val="21"/>
                      <w:highlight w:val="none"/>
                      <w:lang w:val="en-US" w:eastAsia="zh-CN"/>
                    </w:rPr>
                  </w:pPr>
                  <w:r>
                    <w:rPr>
                      <w:rFonts w:hint="default" w:ascii="Times New Roman" w:hAnsi="Times New Roman" w:eastAsia="宋体" w:cs="宋体"/>
                      <w:caps w:val="0"/>
                      <w:snapToGrid w:val="0"/>
                      <w:color w:val="auto"/>
                      <w:spacing w:val="0"/>
                      <w:sz w:val="21"/>
                      <w:szCs w:val="21"/>
                      <w:highlight w:val="none"/>
                      <w:lang w:val="en-US" w:eastAsia="zh-CN"/>
                    </w:rPr>
                    <w:t>依托</w:t>
                  </w:r>
                </w:p>
              </w:tc>
            </w:tr>
            <w:tr w14:paraId="02E3AA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tcBorders>
                    <w:tl2br w:val="nil"/>
                    <w:tr2bl w:val="nil"/>
                  </w:tcBorders>
                  <w:noWrap w:val="0"/>
                  <w:vAlign w:val="center"/>
                </w:tcPr>
                <w:p w14:paraId="42BC6738">
                  <w:pPr>
                    <w:pStyle w:val="70"/>
                    <w:spacing w:line="240" w:lineRule="auto"/>
                    <w:jc w:val="center"/>
                    <w:rPr>
                      <w:rFonts w:hint="default" w:ascii="Times New Roman" w:hAnsi="Times New Roman" w:eastAsia="宋体" w:cs="宋体"/>
                      <w:caps w:val="0"/>
                      <w:snapToGrid w:val="0"/>
                      <w:spacing w:val="0"/>
                      <w:sz w:val="21"/>
                      <w:szCs w:val="21"/>
                      <w:highlight w:val="none"/>
                    </w:rPr>
                  </w:pPr>
                </w:p>
              </w:tc>
              <w:tc>
                <w:tcPr>
                  <w:tcW w:w="1327" w:type="dxa"/>
                  <w:tcBorders>
                    <w:tl2br w:val="nil"/>
                    <w:tr2bl w:val="nil"/>
                  </w:tcBorders>
                  <w:noWrap w:val="0"/>
                  <w:vAlign w:val="center"/>
                </w:tcPr>
                <w:p w14:paraId="1F79BC75">
                  <w:pPr>
                    <w:pStyle w:val="70"/>
                    <w:spacing w:line="240" w:lineRule="auto"/>
                    <w:jc w:val="center"/>
                    <w:rPr>
                      <w:rFonts w:hint="default" w:ascii="Times New Roman" w:hAnsi="Times New Roman" w:eastAsia="宋体" w:cs="宋体"/>
                      <w:caps w:val="0"/>
                      <w:snapToGrid w:val="0"/>
                      <w:spacing w:val="0"/>
                      <w:sz w:val="21"/>
                      <w:szCs w:val="21"/>
                      <w:highlight w:val="none"/>
                    </w:rPr>
                  </w:pPr>
                  <w:r>
                    <w:rPr>
                      <w:rFonts w:hint="default" w:ascii="Times New Roman" w:hAnsi="Times New Roman" w:eastAsia="宋体" w:cs="宋体"/>
                      <w:caps w:val="0"/>
                      <w:snapToGrid w:val="0"/>
                      <w:spacing w:val="0"/>
                      <w:kern w:val="0"/>
                      <w:sz w:val="21"/>
                      <w:szCs w:val="21"/>
                      <w:highlight w:val="none"/>
                    </w:rPr>
                    <w:t>供热</w:t>
                  </w:r>
                </w:p>
              </w:tc>
              <w:tc>
                <w:tcPr>
                  <w:tcW w:w="4498" w:type="dxa"/>
                  <w:tcBorders>
                    <w:tl2br w:val="nil"/>
                    <w:tr2bl w:val="nil"/>
                  </w:tcBorders>
                  <w:noWrap w:val="0"/>
                  <w:vAlign w:val="center"/>
                </w:tcPr>
                <w:p w14:paraId="6F7AF6FF">
                  <w:pPr>
                    <w:pStyle w:val="19"/>
                    <w:spacing w:after="0" w:line="240" w:lineRule="auto"/>
                    <w:ind w:left="0" w:leftChars="0" w:firstLine="0" w:firstLineChars="0"/>
                    <w:jc w:val="center"/>
                    <w:rPr>
                      <w:rFonts w:hint="default" w:ascii="Times New Roman" w:hAnsi="Times New Roman" w:eastAsia="宋体" w:cs="宋体"/>
                      <w:caps w:val="0"/>
                      <w:snapToGrid w:val="0"/>
                      <w:color w:val="auto"/>
                      <w:spacing w:val="0"/>
                      <w:sz w:val="21"/>
                      <w:szCs w:val="21"/>
                      <w:highlight w:val="none"/>
                      <w:lang w:val="en-US" w:eastAsia="zh-CN"/>
                    </w:rPr>
                  </w:pPr>
                  <w:r>
                    <w:rPr>
                      <w:rFonts w:hint="eastAsia" w:ascii="Times New Roman" w:hAnsi="Times New Roman" w:eastAsia="宋体" w:cs="宋体"/>
                      <w:caps w:val="0"/>
                      <w:sz w:val="21"/>
                      <w:szCs w:val="21"/>
                      <w:highlight w:val="none"/>
                      <w:lang w:val="en-US" w:eastAsia="zh-CN"/>
                    </w:rPr>
                    <w:t>冬季供暖利用依托集中供暖</w:t>
                  </w:r>
                  <w:r>
                    <w:rPr>
                      <w:rFonts w:hint="eastAsia" w:ascii="Times New Roman" w:hAnsi="Times New Roman" w:eastAsia="宋体" w:cs="宋体"/>
                      <w:caps w:val="0"/>
                      <w:snapToGrid w:val="0"/>
                      <w:color w:val="auto"/>
                      <w:spacing w:val="0"/>
                      <w:sz w:val="21"/>
                      <w:szCs w:val="21"/>
                      <w:highlight w:val="none"/>
                      <w:lang w:val="en-US" w:eastAsia="zh-CN"/>
                    </w:rPr>
                    <w:t>，</w:t>
                  </w:r>
                  <w:r>
                    <w:rPr>
                      <w:rFonts w:hint="eastAsia" w:ascii="Times New Roman" w:hAnsi="Times New Roman" w:eastAsia="宋体" w:cs="宋体"/>
                      <w:caps w:val="0"/>
                      <w:sz w:val="21"/>
                      <w:szCs w:val="15"/>
                      <w:highlight w:val="none"/>
                      <w:lang w:val="en-US" w:eastAsia="zh-CN"/>
                    </w:rPr>
                    <w:t>供暖单位为鸡西市阳光热力有限公司</w:t>
                  </w:r>
                  <w:r>
                    <w:rPr>
                      <w:rFonts w:hint="eastAsia" w:ascii="Times New Roman" w:hAnsi="Times New Roman" w:cs="宋体"/>
                      <w:caps w:val="0"/>
                      <w:sz w:val="21"/>
                      <w:szCs w:val="15"/>
                      <w:highlight w:val="none"/>
                      <w:lang w:val="en-US" w:eastAsia="zh-CN"/>
                    </w:rPr>
                    <w:t>，供暖发票见附件9</w:t>
                  </w:r>
                  <w:r>
                    <w:rPr>
                      <w:rFonts w:hint="eastAsia" w:ascii="Times New Roman" w:hAnsi="Times New Roman" w:eastAsia="宋体" w:cs="宋体"/>
                      <w:caps w:val="0"/>
                      <w:sz w:val="21"/>
                      <w:szCs w:val="15"/>
                      <w:highlight w:val="none"/>
                      <w:lang w:val="en-US" w:eastAsia="zh-CN"/>
                    </w:rPr>
                    <w:t>。</w:t>
                  </w:r>
                </w:p>
              </w:tc>
              <w:tc>
                <w:tcPr>
                  <w:tcW w:w="689" w:type="dxa"/>
                  <w:tcBorders>
                    <w:tl2br w:val="nil"/>
                    <w:tr2bl w:val="nil"/>
                  </w:tcBorders>
                  <w:shd w:val="clear" w:color="auto" w:fill="auto"/>
                  <w:noWrap w:val="0"/>
                  <w:vAlign w:val="center"/>
                </w:tcPr>
                <w:p w14:paraId="7043B5CF">
                  <w:pPr>
                    <w:pStyle w:val="70"/>
                    <w:spacing w:line="240" w:lineRule="auto"/>
                    <w:jc w:val="center"/>
                    <w:rPr>
                      <w:rFonts w:hint="default" w:ascii="Times New Roman" w:hAnsi="Times New Roman" w:eastAsia="宋体" w:cs="宋体"/>
                      <w:caps w:val="0"/>
                      <w:snapToGrid w:val="0"/>
                      <w:color w:val="auto"/>
                      <w:spacing w:val="0"/>
                      <w:kern w:val="2"/>
                      <w:sz w:val="21"/>
                      <w:szCs w:val="21"/>
                      <w:highlight w:val="none"/>
                      <w:lang w:val="en-US" w:eastAsia="zh-CN" w:bidi="ar-SA"/>
                    </w:rPr>
                  </w:pPr>
                  <w:r>
                    <w:rPr>
                      <w:rFonts w:hint="eastAsia" w:ascii="Times New Roman" w:hAnsi="Times New Roman" w:eastAsia="宋体" w:cs="宋体"/>
                      <w:caps w:val="0"/>
                      <w:snapToGrid w:val="0"/>
                      <w:color w:val="auto"/>
                      <w:spacing w:val="0"/>
                      <w:sz w:val="21"/>
                      <w:szCs w:val="21"/>
                      <w:highlight w:val="none"/>
                      <w:lang w:val="en-US" w:eastAsia="zh-CN"/>
                    </w:rPr>
                    <w:t>依托</w:t>
                  </w:r>
                </w:p>
              </w:tc>
            </w:tr>
            <w:tr w14:paraId="56D23B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restart"/>
                  <w:tcBorders>
                    <w:tl2br w:val="nil"/>
                    <w:tr2bl w:val="nil"/>
                  </w:tcBorders>
                  <w:noWrap w:val="0"/>
                  <w:vAlign w:val="center"/>
                </w:tcPr>
                <w:p w14:paraId="4348EE5C">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r>
                    <w:rPr>
                      <w:rFonts w:hint="default" w:ascii="Times New Roman" w:hAnsi="Times New Roman" w:eastAsia="宋体" w:cs="宋体"/>
                      <w:caps w:val="0"/>
                      <w:snapToGrid w:val="0"/>
                      <w:color w:val="auto"/>
                      <w:spacing w:val="0"/>
                      <w:sz w:val="21"/>
                      <w:szCs w:val="21"/>
                      <w:highlight w:val="none"/>
                    </w:rPr>
                    <w:t>环保工程</w:t>
                  </w:r>
                </w:p>
              </w:tc>
              <w:tc>
                <w:tcPr>
                  <w:tcW w:w="1327" w:type="dxa"/>
                  <w:tcBorders>
                    <w:tl2br w:val="nil"/>
                    <w:tr2bl w:val="nil"/>
                  </w:tcBorders>
                  <w:noWrap w:val="0"/>
                  <w:vAlign w:val="center"/>
                </w:tcPr>
                <w:p w14:paraId="45160616">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r>
                    <w:rPr>
                      <w:rFonts w:hint="default" w:ascii="Times New Roman" w:hAnsi="Times New Roman" w:eastAsia="宋体" w:cs="宋体"/>
                      <w:caps w:val="0"/>
                      <w:snapToGrid w:val="0"/>
                      <w:color w:val="auto"/>
                      <w:spacing w:val="0"/>
                      <w:sz w:val="21"/>
                      <w:szCs w:val="21"/>
                      <w:highlight w:val="none"/>
                    </w:rPr>
                    <w:t>废水治理</w:t>
                  </w:r>
                </w:p>
              </w:tc>
              <w:tc>
                <w:tcPr>
                  <w:tcW w:w="4498" w:type="dxa"/>
                  <w:tcBorders>
                    <w:tl2br w:val="nil"/>
                    <w:tr2bl w:val="nil"/>
                  </w:tcBorders>
                  <w:noWrap w:val="0"/>
                  <w:vAlign w:val="center"/>
                </w:tcPr>
                <w:p w14:paraId="06F6D4E9">
                  <w:pPr>
                    <w:spacing w:line="240" w:lineRule="auto"/>
                    <w:ind w:left="0" w:leftChars="0" w:firstLine="0" w:firstLineChars="0"/>
                    <w:jc w:val="center"/>
                    <w:rPr>
                      <w:rFonts w:hint="default" w:ascii="Times New Roman" w:hAnsi="Times New Roman" w:eastAsia="宋体" w:cs="宋体"/>
                      <w:caps w:val="0"/>
                      <w:snapToGrid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本项目不产生外排废水</w:t>
                  </w:r>
                </w:p>
              </w:tc>
              <w:tc>
                <w:tcPr>
                  <w:tcW w:w="689" w:type="dxa"/>
                  <w:tcBorders>
                    <w:tl2br w:val="nil"/>
                    <w:tr2bl w:val="nil"/>
                  </w:tcBorders>
                  <w:noWrap w:val="0"/>
                  <w:vAlign w:val="center"/>
                </w:tcPr>
                <w:p w14:paraId="12700AE7">
                  <w:pPr>
                    <w:spacing w:line="240" w:lineRule="auto"/>
                    <w:ind w:left="0" w:leftChars="0" w:firstLine="0" w:firstLineChars="0"/>
                    <w:jc w:val="center"/>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bCs/>
                      <w:caps w:val="0"/>
                      <w:color w:val="auto"/>
                      <w:spacing w:val="0"/>
                      <w:kern w:val="2"/>
                      <w:sz w:val="21"/>
                      <w:szCs w:val="21"/>
                      <w:highlight w:val="none"/>
                      <w:lang w:val="en-US" w:eastAsia="zh-CN" w:bidi="ar-SA"/>
                    </w:rPr>
                    <w:t>/</w:t>
                  </w:r>
                </w:p>
              </w:tc>
            </w:tr>
            <w:tr w14:paraId="4E3DB6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tcBorders>
                    <w:tl2br w:val="nil"/>
                    <w:tr2bl w:val="nil"/>
                  </w:tcBorders>
                  <w:noWrap w:val="0"/>
                  <w:vAlign w:val="center"/>
                </w:tcPr>
                <w:p w14:paraId="57588C32">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p>
              </w:tc>
              <w:tc>
                <w:tcPr>
                  <w:tcW w:w="1327" w:type="dxa"/>
                  <w:tcBorders>
                    <w:tl2br w:val="nil"/>
                    <w:tr2bl w:val="nil"/>
                  </w:tcBorders>
                  <w:noWrap w:val="0"/>
                  <w:vAlign w:val="center"/>
                </w:tcPr>
                <w:p w14:paraId="4B907987">
                  <w:pPr>
                    <w:pStyle w:val="70"/>
                    <w:spacing w:line="240" w:lineRule="auto"/>
                    <w:jc w:val="center"/>
                    <w:rPr>
                      <w:rFonts w:hint="default" w:ascii="Times New Roman" w:hAnsi="Times New Roman" w:eastAsia="宋体" w:cs="宋体"/>
                      <w:caps w:val="0"/>
                      <w:snapToGrid w:val="0"/>
                      <w:color w:val="auto"/>
                      <w:spacing w:val="0"/>
                      <w:sz w:val="21"/>
                      <w:szCs w:val="21"/>
                      <w:highlight w:val="none"/>
                      <w:lang w:val="en-US"/>
                    </w:rPr>
                  </w:pPr>
                  <w:r>
                    <w:rPr>
                      <w:rFonts w:hint="default" w:ascii="Times New Roman" w:hAnsi="Times New Roman" w:eastAsia="宋体" w:cs="宋体"/>
                      <w:caps w:val="0"/>
                      <w:snapToGrid w:val="0"/>
                      <w:color w:val="auto"/>
                      <w:spacing w:val="0"/>
                      <w:sz w:val="21"/>
                      <w:szCs w:val="21"/>
                      <w:highlight w:val="none"/>
                      <w:lang w:val="en-US"/>
                    </w:rPr>
                    <w:t>噪声治理</w:t>
                  </w:r>
                </w:p>
              </w:tc>
              <w:tc>
                <w:tcPr>
                  <w:tcW w:w="4498" w:type="dxa"/>
                  <w:tcBorders>
                    <w:tl2br w:val="nil"/>
                    <w:tr2bl w:val="nil"/>
                  </w:tcBorders>
                  <w:noWrap w:val="0"/>
                  <w:vAlign w:val="center"/>
                </w:tcPr>
                <w:p w14:paraId="1A445653">
                  <w:pPr>
                    <w:pStyle w:val="70"/>
                    <w:spacing w:line="240" w:lineRule="auto"/>
                    <w:ind w:firstLine="420" w:firstLineChars="200"/>
                    <w:jc w:val="center"/>
                    <w:rPr>
                      <w:rFonts w:hint="default" w:ascii="Times New Roman" w:hAnsi="Times New Roman" w:eastAsia="宋体" w:cs="宋体"/>
                      <w:caps w:val="0"/>
                      <w:snapToGrid w:val="0"/>
                      <w:color w:val="auto"/>
                      <w:spacing w:val="0"/>
                      <w:sz w:val="21"/>
                      <w:szCs w:val="21"/>
                      <w:highlight w:val="none"/>
                      <w:lang w:eastAsia="zh-CN"/>
                    </w:rPr>
                  </w:pPr>
                  <w:r>
                    <w:rPr>
                      <w:rFonts w:hint="default" w:ascii="Times New Roman" w:hAnsi="Times New Roman" w:eastAsia="宋体" w:cs="宋体"/>
                      <w:caps w:val="0"/>
                      <w:color w:val="auto"/>
                      <w:spacing w:val="0"/>
                      <w:sz w:val="21"/>
                      <w:szCs w:val="21"/>
                      <w:highlight w:val="none"/>
                      <w:lang w:val="en-US" w:eastAsia="zh-CN"/>
                    </w:rPr>
                    <w:t>主要噪声为</w:t>
                  </w:r>
                  <w:r>
                    <w:rPr>
                      <w:rFonts w:hint="default" w:ascii="Times New Roman" w:hAnsi="Times New Roman" w:eastAsia="宋体" w:cs="宋体"/>
                      <w:caps w:val="0"/>
                      <w:color w:val="auto"/>
                      <w:spacing w:val="0"/>
                      <w:sz w:val="21"/>
                      <w:szCs w:val="21"/>
                      <w:highlight w:val="none"/>
                      <w:lang w:val="en-US" w:eastAsia="zh-CN"/>
                    </w:rPr>
                    <w:t>导热油炉</w:t>
                  </w:r>
                  <w:r>
                    <w:rPr>
                      <w:rFonts w:hint="eastAsia" w:ascii="Times New Roman" w:hAnsi="Times New Roman" w:eastAsia="宋体" w:cs="宋体"/>
                      <w:caps w:val="0"/>
                      <w:color w:val="auto"/>
                      <w:spacing w:val="0"/>
                      <w:sz w:val="21"/>
                      <w:szCs w:val="21"/>
                      <w:highlight w:val="none"/>
                      <w:lang w:val="en-US" w:eastAsia="zh-CN"/>
                    </w:rPr>
                    <w:t>、风机</w:t>
                  </w:r>
                  <w:r>
                    <w:rPr>
                      <w:rFonts w:hint="default" w:ascii="Times New Roman" w:hAnsi="Times New Roman" w:eastAsia="宋体" w:cs="宋体"/>
                      <w:caps w:val="0"/>
                      <w:color w:val="auto"/>
                      <w:spacing w:val="0"/>
                      <w:sz w:val="21"/>
                      <w:szCs w:val="21"/>
                      <w:highlight w:val="none"/>
                      <w:lang w:val="en-US" w:eastAsia="zh-CN"/>
                    </w:rPr>
                    <w:t>运行产生的噪声，在</w:t>
                  </w:r>
                  <w:r>
                    <w:rPr>
                      <w:rFonts w:hint="default" w:ascii="Times New Roman" w:hAnsi="Times New Roman" w:eastAsia="宋体" w:cs="宋体"/>
                      <w:caps w:val="0"/>
                      <w:color w:val="auto"/>
                      <w:spacing w:val="0"/>
                      <w:sz w:val="21"/>
                      <w:szCs w:val="21"/>
                      <w:highlight w:val="none"/>
                      <w:lang w:eastAsia="zh-CN"/>
                    </w:rPr>
                    <w:t>通过采</w:t>
                  </w:r>
                  <w:r>
                    <w:rPr>
                      <w:rFonts w:hint="default" w:ascii="Times New Roman" w:hAnsi="Times New Roman" w:eastAsia="宋体" w:cs="宋体"/>
                      <w:caps w:val="0"/>
                      <w:color w:val="auto"/>
                      <w:spacing w:val="0"/>
                      <w:sz w:val="21"/>
                      <w:szCs w:val="21"/>
                      <w:highlight w:val="none"/>
                      <w:lang w:val="en-US" w:eastAsia="zh-CN"/>
                    </w:rPr>
                    <w:t>用</w:t>
                  </w:r>
                  <w:r>
                    <w:rPr>
                      <w:rFonts w:hint="default" w:ascii="Times New Roman" w:hAnsi="Times New Roman" w:eastAsia="宋体" w:cs="宋体"/>
                      <w:caps w:val="0"/>
                      <w:color w:val="auto"/>
                      <w:spacing w:val="0"/>
                      <w:sz w:val="21"/>
                      <w:szCs w:val="21"/>
                      <w:highlight w:val="none"/>
                      <w:lang w:eastAsia="zh-CN"/>
                    </w:rPr>
                    <w:t>基础减振、安装隔声罩、厂房隔声等措施</w:t>
                  </w:r>
                  <w:r>
                    <w:rPr>
                      <w:rFonts w:hint="default" w:ascii="Times New Roman" w:hAnsi="Times New Roman" w:eastAsia="宋体" w:cs="宋体"/>
                      <w:caps w:val="0"/>
                      <w:color w:val="auto"/>
                      <w:spacing w:val="0"/>
                      <w:sz w:val="21"/>
                      <w:szCs w:val="21"/>
                      <w:highlight w:val="none"/>
                      <w:lang w:val="en-US" w:eastAsia="zh-CN"/>
                    </w:rPr>
                    <w:t>后</w:t>
                  </w:r>
                  <w:r>
                    <w:rPr>
                      <w:rFonts w:hint="default" w:ascii="Times New Roman" w:hAnsi="Times New Roman" w:eastAsia="宋体" w:cs="宋体"/>
                      <w:caps w:val="0"/>
                      <w:color w:val="auto"/>
                      <w:spacing w:val="0"/>
                      <w:sz w:val="21"/>
                      <w:szCs w:val="21"/>
                      <w:highlight w:val="none"/>
                      <w:lang w:eastAsia="zh-CN"/>
                    </w:rPr>
                    <w:t>，厂界</w:t>
                  </w:r>
                  <w:r>
                    <w:rPr>
                      <w:rFonts w:hint="default" w:ascii="Times New Roman" w:hAnsi="Times New Roman" w:eastAsia="宋体" w:cs="宋体"/>
                      <w:caps w:val="0"/>
                      <w:color w:val="auto"/>
                      <w:spacing w:val="0"/>
                      <w:sz w:val="21"/>
                      <w:szCs w:val="21"/>
                      <w:highlight w:val="none"/>
                      <w:lang w:val="en-US" w:eastAsia="zh-CN"/>
                    </w:rPr>
                    <w:t>四</w:t>
                  </w:r>
                  <w:r>
                    <w:rPr>
                      <w:rFonts w:hint="default" w:ascii="Times New Roman" w:hAnsi="Times New Roman" w:eastAsia="宋体" w:cs="宋体"/>
                      <w:caps w:val="0"/>
                      <w:color w:val="auto"/>
                      <w:spacing w:val="0"/>
                      <w:sz w:val="21"/>
                      <w:szCs w:val="21"/>
                      <w:highlight w:val="none"/>
                      <w:lang w:eastAsia="zh-CN"/>
                    </w:rPr>
                    <w:t>侧可满足《工业企业厂界环境噪声排放标准》（GB</w:t>
                  </w:r>
                  <w:r>
                    <w:rPr>
                      <w:rFonts w:hint="default" w:ascii="Times New Roman" w:hAnsi="Times New Roman" w:eastAsia="宋体" w:cs="宋体"/>
                      <w:caps w:val="0"/>
                      <w:color w:val="auto"/>
                      <w:spacing w:val="0"/>
                      <w:sz w:val="21"/>
                      <w:szCs w:val="21"/>
                      <w:highlight w:val="none"/>
                      <w:lang w:val="en-US" w:eastAsia="zh-CN"/>
                    </w:rPr>
                    <w:t xml:space="preserve"> </w:t>
                  </w:r>
                  <w:r>
                    <w:rPr>
                      <w:rFonts w:hint="default" w:ascii="Times New Roman" w:hAnsi="Times New Roman" w:eastAsia="宋体" w:cs="宋体"/>
                      <w:caps w:val="0"/>
                      <w:color w:val="auto"/>
                      <w:spacing w:val="0"/>
                      <w:sz w:val="21"/>
                      <w:szCs w:val="21"/>
                      <w:highlight w:val="none"/>
                      <w:lang w:eastAsia="zh-CN"/>
                    </w:rPr>
                    <w:t>12348-2008）表1中</w:t>
                  </w:r>
                  <w:r>
                    <w:rPr>
                      <w:rFonts w:hint="eastAsia" w:ascii="Times New Roman" w:hAnsi="Times New Roman" w:eastAsia="宋体" w:cs="宋体"/>
                      <w:caps w:val="0"/>
                      <w:color w:val="auto"/>
                      <w:spacing w:val="0"/>
                      <w:sz w:val="21"/>
                      <w:szCs w:val="21"/>
                      <w:highlight w:val="none"/>
                      <w:lang w:val="en-US" w:eastAsia="zh-CN"/>
                    </w:rPr>
                    <w:t>2类标准</w:t>
                  </w:r>
                  <w:r>
                    <w:rPr>
                      <w:rFonts w:hint="default" w:ascii="Times New Roman" w:hAnsi="Times New Roman" w:eastAsia="宋体" w:cs="宋体"/>
                      <w:caps w:val="0"/>
                      <w:color w:val="auto"/>
                      <w:spacing w:val="0"/>
                      <w:sz w:val="21"/>
                      <w:szCs w:val="21"/>
                      <w:highlight w:val="none"/>
                      <w:lang w:eastAsia="zh-CN"/>
                    </w:rPr>
                    <w:t>要求。</w:t>
                  </w:r>
                </w:p>
              </w:tc>
              <w:tc>
                <w:tcPr>
                  <w:tcW w:w="689" w:type="dxa"/>
                  <w:tcBorders>
                    <w:tl2br w:val="nil"/>
                    <w:tr2bl w:val="nil"/>
                  </w:tcBorders>
                  <w:noWrap w:val="0"/>
                  <w:vAlign w:val="center"/>
                </w:tcPr>
                <w:p w14:paraId="6402D7DF">
                  <w:pPr>
                    <w:pStyle w:val="7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Cs/>
                      <w:caps w:val="0"/>
                      <w:color w:val="auto"/>
                      <w:spacing w:val="0"/>
                      <w:kern w:val="2"/>
                      <w:sz w:val="21"/>
                      <w:szCs w:val="21"/>
                      <w:highlight w:val="none"/>
                      <w:lang w:val="en-US" w:eastAsia="zh-CN" w:bidi="ar-SA"/>
                    </w:rPr>
                  </w:pPr>
                  <w:r>
                    <w:rPr>
                      <w:rFonts w:hint="default" w:ascii="Times New Roman" w:hAnsi="Times New Roman" w:eastAsia="宋体" w:cs="宋体"/>
                      <w:bCs/>
                      <w:caps w:val="0"/>
                      <w:color w:val="auto"/>
                      <w:spacing w:val="0"/>
                      <w:kern w:val="2"/>
                      <w:sz w:val="21"/>
                      <w:szCs w:val="21"/>
                      <w:highlight w:val="none"/>
                      <w:lang w:val="en-US" w:eastAsia="zh-CN" w:bidi="ar-SA"/>
                    </w:rPr>
                    <w:t>新建</w:t>
                  </w:r>
                </w:p>
              </w:tc>
            </w:tr>
            <w:tr w14:paraId="5359F7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tcBorders>
                    <w:tl2br w:val="nil"/>
                    <w:tr2bl w:val="nil"/>
                  </w:tcBorders>
                  <w:noWrap w:val="0"/>
                  <w:vAlign w:val="center"/>
                </w:tcPr>
                <w:p w14:paraId="3900AD43">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p>
              </w:tc>
              <w:tc>
                <w:tcPr>
                  <w:tcW w:w="1327" w:type="dxa"/>
                  <w:vMerge w:val="restart"/>
                  <w:tcBorders>
                    <w:tl2br w:val="nil"/>
                    <w:tr2bl w:val="nil"/>
                  </w:tcBorders>
                  <w:noWrap w:val="0"/>
                  <w:vAlign w:val="center"/>
                </w:tcPr>
                <w:p w14:paraId="769814A5">
                  <w:pPr>
                    <w:pStyle w:val="70"/>
                    <w:spacing w:line="240" w:lineRule="auto"/>
                    <w:jc w:val="center"/>
                    <w:rPr>
                      <w:rFonts w:hint="default" w:ascii="Times New Roman" w:hAnsi="Times New Roman" w:eastAsia="宋体" w:cs="宋体"/>
                      <w:caps w:val="0"/>
                      <w:snapToGrid w:val="0"/>
                      <w:color w:val="auto"/>
                      <w:spacing w:val="0"/>
                      <w:sz w:val="21"/>
                      <w:szCs w:val="21"/>
                      <w:highlight w:val="none"/>
                      <w:lang w:val="en-US" w:eastAsia="zh-CN"/>
                    </w:rPr>
                  </w:pPr>
                  <w:r>
                    <w:rPr>
                      <w:rFonts w:hint="default" w:ascii="Times New Roman" w:hAnsi="Times New Roman" w:eastAsia="宋体" w:cs="宋体"/>
                      <w:caps w:val="0"/>
                      <w:snapToGrid w:val="0"/>
                      <w:color w:val="auto"/>
                      <w:spacing w:val="0"/>
                      <w:sz w:val="21"/>
                      <w:szCs w:val="21"/>
                      <w:highlight w:val="none"/>
                      <w:lang w:val="en-US" w:eastAsia="zh-CN"/>
                    </w:rPr>
                    <w:t>废气</w:t>
                  </w:r>
                </w:p>
              </w:tc>
              <w:tc>
                <w:tcPr>
                  <w:tcW w:w="4498" w:type="dxa"/>
                  <w:tcBorders>
                    <w:tl2br w:val="nil"/>
                    <w:tr2bl w:val="nil"/>
                  </w:tcBorders>
                  <w:noWrap w:val="0"/>
                  <w:vAlign w:val="center"/>
                </w:tcPr>
                <w:p w14:paraId="53F7333E">
                  <w:pPr>
                    <w:pStyle w:val="70"/>
                    <w:spacing w:line="240" w:lineRule="auto"/>
                    <w:ind w:firstLine="420" w:firstLineChars="200"/>
                    <w:jc w:val="center"/>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本项目</w:t>
                  </w:r>
                  <w:r>
                    <w:rPr>
                      <w:rFonts w:hint="eastAsia" w:cs="宋体"/>
                      <w:caps w:val="0"/>
                      <w:color w:val="auto"/>
                      <w:spacing w:val="0"/>
                      <w:sz w:val="21"/>
                      <w:szCs w:val="21"/>
                      <w:highlight w:val="none"/>
                      <w:lang w:val="en-US" w:eastAsia="zh-CN"/>
                    </w:rPr>
                    <w:t>锅炉房1</w:t>
                  </w:r>
                  <w:r>
                    <w:rPr>
                      <w:rFonts w:hint="default" w:ascii="Times New Roman" w:hAnsi="Times New Roman" w:eastAsia="宋体" w:cs="宋体"/>
                      <w:caps w:val="0"/>
                      <w:color w:val="auto"/>
                      <w:spacing w:val="0"/>
                      <w:sz w:val="21"/>
                      <w:szCs w:val="21"/>
                      <w:highlight w:val="none"/>
                      <w:lang w:val="en-US" w:eastAsia="zh-CN"/>
                    </w:rPr>
                    <w:t>产生的废气主要为</w:t>
                  </w:r>
                  <w:r>
                    <w:rPr>
                      <w:rFonts w:hint="eastAsia" w:ascii="Times New Roman" w:hAnsi="Times New Roman" w:eastAsia="宋体" w:cs="宋体"/>
                      <w:caps w:val="0"/>
                      <w:color w:val="auto"/>
                      <w:spacing w:val="0"/>
                      <w:sz w:val="21"/>
                      <w:szCs w:val="21"/>
                      <w:highlight w:val="none"/>
                      <w:lang w:val="en-US" w:eastAsia="zh-CN"/>
                    </w:rPr>
                    <w:t>燃油</w:t>
                  </w:r>
                  <w:r>
                    <w:rPr>
                      <w:rFonts w:hint="eastAsia" w:ascii="Times New Roman" w:hAnsi="Times New Roman" w:eastAsia="宋体" w:cs="宋体"/>
                      <w:caps w:val="0"/>
                      <w:color w:val="auto"/>
                      <w:spacing w:val="0"/>
                      <w:sz w:val="21"/>
                      <w:szCs w:val="21"/>
                      <w:highlight w:val="none"/>
                      <w:lang w:val="en-US" w:eastAsia="zh-CN"/>
                    </w:rPr>
                    <w:t>导热油炉</w:t>
                  </w:r>
                  <w:r>
                    <w:rPr>
                      <w:rFonts w:hint="default" w:ascii="Times New Roman" w:hAnsi="Times New Roman" w:eastAsia="宋体" w:cs="宋体"/>
                      <w:caps w:val="0"/>
                      <w:color w:val="auto"/>
                      <w:spacing w:val="0"/>
                      <w:sz w:val="21"/>
                      <w:szCs w:val="21"/>
                      <w:highlight w:val="none"/>
                      <w:lang w:val="en-US" w:eastAsia="zh-CN"/>
                    </w:rPr>
                    <w:t>产生</w:t>
                  </w:r>
                  <w:r>
                    <w:rPr>
                      <w:rFonts w:hint="eastAsia" w:cs="宋体"/>
                      <w:caps w:val="0"/>
                      <w:color w:val="auto"/>
                      <w:spacing w:val="0"/>
                      <w:sz w:val="21"/>
                      <w:szCs w:val="21"/>
                      <w:highlight w:val="none"/>
                      <w:lang w:val="en-US" w:eastAsia="zh-CN"/>
                    </w:rPr>
                    <w:t>的</w:t>
                  </w:r>
                  <w:r>
                    <w:rPr>
                      <w:rFonts w:hint="default" w:ascii="Times New Roman" w:hAnsi="Times New Roman" w:eastAsia="宋体" w:cs="宋体"/>
                      <w:caps w:val="0"/>
                      <w:color w:val="auto"/>
                      <w:spacing w:val="0"/>
                      <w:sz w:val="21"/>
                      <w:szCs w:val="21"/>
                      <w:highlight w:val="none"/>
                      <w:lang w:val="en-US" w:eastAsia="zh-CN"/>
                    </w:rPr>
                    <w:t>废气，</w:t>
                  </w:r>
                  <w:r>
                    <w:rPr>
                      <w:rFonts w:hint="eastAsia" w:ascii="Times New Roman" w:hAnsi="Times New Roman" w:eastAsia="宋体" w:cs="宋体"/>
                      <w:caps w:val="0"/>
                      <w:color w:val="auto"/>
                      <w:spacing w:val="0"/>
                      <w:sz w:val="21"/>
                      <w:szCs w:val="21"/>
                      <w:highlight w:val="none"/>
                      <w:lang w:val="en-US" w:eastAsia="zh-CN"/>
                    </w:rPr>
                    <w:t>主要污染物为颗粒物、二氧化硫、氮氧化物、烟气黑度</w:t>
                  </w:r>
                  <w:r>
                    <w:rPr>
                      <w:rFonts w:hint="default"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导热油炉</w:t>
                  </w:r>
                  <w:r>
                    <w:rPr>
                      <w:rFonts w:hint="default" w:ascii="Times New Roman" w:hAnsi="Times New Roman" w:eastAsia="宋体" w:cs="宋体"/>
                      <w:caps w:val="0"/>
                      <w:color w:val="auto"/>
                      <w:spacing w:val="0"/>
                      <w:sz w:val="21"/>
                      <w:szCs w:val="21"/>
                      <w:highlight w:val="none"/>
                      <w:lang w:val="en-US" w:eastAsia="zh-CN"/>
                    </w:rPr>
                    <w:t>配备低氮燃烧器，经低氮燃烧器处理后的烟气</w:t>
                  </w:r>
                  <w:r>
                    <w:rPr>
                      <w:rFonts w:hint="eastAsia" w:ascii="Times New Roman" w:hAnsi="Times New Roman" w:eastAsia="宋体" w:cs="宋体"/>
                      <w:caps w:val="0"/>
                      <w:color w:val="auto"/>
                      <w:spacing w:val="0"/>
                      <w:sz w:val="21"/>
                      <w:szCs w:val="21"/>
                      <w:highlight w:val="none"/>
                      <w:lang w:val="en-US" w:eastAsia="zh-CN"/>
                    </w:rPr>
                    <w:t>通过布袋除尘器净化处理后</w:t>
                  </w:r>
                  <w:r>
                    <w:rPr>
                      <w:rFonts w:hint="default" w:ascii="Times New Roman" w:hAnsi="Times New Roman" w:eastAsia="宋体" w:cs="宋体"/>
                      <w:caps w:val="0"/>
                      <w:color w:val="auto"/>
                      <w:spacing w:val="0"/>
                      <w:sz w:val="21"/>
                      <w:szCs w:val="21"/>
                      <w:highlight w:val="none"/>
                      <w:lang w:val="en-US" w:eastAsia="zh-CN"/>
                    </w:rPr>
                    <w:t>经</w:t>
                  </w:r>
                  <w:r>
                    <w:rPr>
                      <w:rFonts w:hint="eastAsia" w:cs="宋体"/>
                      <w:caps w:val="0"/>
                      <w:color w:val="auto"/>
                      <w:spacing w:val="0"/>
                      <w:sz w:val="21"/>
                      <w:szCs w:val="21"/>
                      <w:highlight w:val="none"/>
                      <w:lang w:val="en-US" w:eastAsia="zh-CN"/>
                    </w:rPr>
                    <w:t>20m高排气筒</w:t>
                  </w:r>
                  <w:r>
                    <w:rPr>
                      <w:rFonts w:hint="default" w:ascii="Times New Roman" w:hAnsi="Times New Roman" w:eastAsia="宋体" w:cs="宋体"/>
                      <w:caps w:val="0"/>
                      <w:color w:val="auto"/>
                      <w:spacing w:val="0"/>
                      <w:sz w:val="21"/>
                      <w:szCs w:val="21"/>
                      <w:highlight w:val="none"/>
                      <w:lang w:val="en-US" w:eastAsia="zh-CN"/>
                    </w:rPr>
                    <w:t>DA0</w:t>
                  </w:r>
                  <w:r>
                    <w:rPr>
                      <w:rFonts w:hint="eastAsia" w:ascii="Times New Roman" w:hAnsi="Times New Roman" w:eastAsia="宋体" w:cs="宋体"/>
                      <w:caps w:val="0"/>
                      <w:color w:val="auto"/>
                      <w:spacing w:val="0"/>
                      <w:sz w:val="21"/>
                      <w:szCs w:val="21"/>
                      <w:highlight w:val="none"/>
                      <w:lang w:val="en-US" w:eastAsia="zh-CN"/>
                    </w:rPr>
                    <w:t>03</w:t>
                  </w:r>
                  <w:r>
                    <w:rPr>
                      <w:rFonts w:hint="default" w:ascii="Times New Roman" w:hAnsi="Times New Roman" w:eastAsia="宋体" w:cs="宋体"/>
                      <w:caps w:val="0"/>
                      <w:color w:val="auto"/>
                      <w:spacing w:val="0"/>
                      <w:sz w:val="21"/>
                      <w:szCs w:val="21"/>
                      <w:highlight w:val="none"/>
                      <w:lang w:val="en-US" w:eastAsia="zh-CN"/>
                    </w:rPr>
                    <w:t>烟囱有组织排放，颗粒物、二氧化硫、氮氧化物</w:t>
                  </w:r>
                  <w:r>
                    <w:rPr>
                      <w:rFonts w:hint="eastAsia" w:ascii="Times New Roman" w:hAnsi="Times New Roman" w:eastAsia="宋体" w:cs="宋体"/>
                      <w:caps w:val="0"/>
                      <w:color w:val="auto"/>
                      <w:spacing w:val="0"/>
                      <w:sz w:val="21"/>
                      <w:szCs w:val="21"/>
                      <w:highlight w:val="none"/>
                      <w:lang w:val="en-US" w:eastAsia="zh-CN"/>
                    </w:rPr>
                    <w:t>、烟气黑度</w:t>
                  </w:r>
                  <w:r>
                    <w:rPr>
                      <w:rFonts w:hint="default" w:ascii="Times New Roman" w:hAnsi="Times New Roman" w:eastAsia="宋体" w:cs="宋体"/>
                      <w:caps w:val="0"/>
                      <w:color w:val="auto"/>
                      <w:spacing w:val="0"/>
                      <w:sz w:val="21"/>
                      <w:szCs w:val="21"/>
                      <w:highlight w:val="none"/>
                      <w:lang w:val="en-US" w:eastAsia="zh-CN"/>
                    </w:rPr>
                    <w:t>废气排放满足《锅炉大气污染物排放标准》（GB13271-2014）表2排放限值。</w:t>
                  </w:r>
                </w:p>
              </w:tc>
              <w:tc>
                <w:tcPr>
                  <w:tcW w:w="689" w:type="dxa"/>
                  <w:tcBorders>
                    <w:tl2br w:val="nil"/>
                    <w:tr2bl w:val="nil"/>
                  </w:tcBorders>
                  <w:noWrap w:val="0"/>
                  <w:vAlign w:val="center"/>
                </w:tcPr>
                <w:p w14:paraId="0FF0EAF2">
                  <w:pPr>
                    <w:pStyle w:val="7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Cs/>
                      <w:caps w:val="0"/>
                      <w:color w:val="auto"/>
                      <w:spacing w:val="0"/>
                      <w:kern w:val="2"/>
                      <w:sz w:val="21"/>
                      <w:szCs w:val="21"/>
                      <w:highlight w:val="none"/>
                      <w:lang w:val="en-US" w:eastAsia="zh-CN" w:bidi="ar-SA"/>
                    </w:rPr>
                  </w:pPr>
                  <w:r>
                    <w:rPr>
                      <w:rFonts w:hint="eastAsia" w:cs="宋体"/>
                      <w:bCs/>
                      <w:caps w:val="0"/>
                      <w:color w:val="auto"/>
                      <w:spacing w:val="0"/>
                      <w:kern w:val="2"/>
                      <w:sz w:val="21"/>
                      <w:szCs w:val="21"/>
                      <w:highlight w:val="none"/>
                      <w:lang w:val="en-US" w:eastAsia="zh-CN" w:bidi="ar-SA"/>
                    </w:rPr>
                    <w:t>依托</w:t>
                  </w:r>
                </w:p>
              </w:tc>
            </w:tr>
            <w:tr w14:paraId="60DDE1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tcBorders>
                    <w:tl2br w:val="nil"/>
                    <w:tr2bl w:val="nil"/>
                  </w:tcBorders>
                  <w:noWrap w:val="0"/>
                  <w:vAlign w:val="center"/>
                </w:tcPr>
                <w:p w14:paraId="5F7C3755">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p>
              </w:tc>
              <w:tc>
                <w:tcPr>
                  <w:tcW w:w="1327" w:type="dxa"/>
                  <w:vMerge w:val="continue"/>
                  <w:tcBorders>
                    <w:tl2br w:val="nil"/>
                    <w:tr2bl w:val="nil"/>
                  </w:tcBorders>
                  <w:noWrap w:val="0"/>
                  <w:vAlign w:val="center"/>
                </w:tcPr>
                <w:p w14:paraId="3E765B74">
                  <w:pPr>
                    <w:pStyle w:val="70"/>
                    <w:spacing w:line="240" w:lineRule="auto"/>
                    <w:jc w:val="center"/>
                    <w:rPr>
                      <w:rFonts w:hint="default" w:ascii="Times New Roman" w:hAnsi="Times New Roman" w:eastAsia="宋体" w:cs="宋体"/>
                      <w:caps w:val="0"/>
                      <w:snapToGrid w:val="0"/>
                      <w:color w:val="auto"/>
                      <w:spacing w:val="0"/>
                      <w:sz w:val="21"/>
                      <w:szCs w:val="21"/>
                      <w:highlight w:val="none"/>
                      <w:lang w:val="en-US" w:eastAsia="zh-CN"/>
                    </w:rPr>
                  </w:pPr>
                </w:p>
              </w:tc>
              <w:tc>
                <w:tcPr>
                  <w:tcW w:w="4498" w:type="dxa"/>
                  <w:tcBorders>
                    <w:tl2br w:val="nil"/>
                    <w:tr2bl w:val="nil"/>
                  </w:tcBorders>
                  <w:noWrap w:val="0"/>
                  <w:vAlign w:val="center"/>
                </w:tcPr>
                <w:p w14:paraId="45F2D730">
                  <w:pPr>
                    <w:pStyle w:val="70"/>
                    <w:spacing w:line="240" w:lineRule="auto"/>
                    <w:ind w:firstLine="420" w:firstLineChars="200"/>
                    <w:jc w:val="center"/>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本项目</w:t>
                  </w:r>
                  <w:r>
                    <w:rPr>
                      <w:rFonts w:hint="eastAsia" w:cs="宋体"/>
                      <w:caps w:val="0"/>
                      <w:color w:val="auto"/>
                      <w:spacing w:val="0"/>
                      <w:sz w:val="21"/>
                      <w:szCs w:val="21"/>
                      <w:highlight w:val="none"/>
                      <w:lang w:val="en-US" w:eastAsia="zh-CN"/>
                    </w:rPr>
                    <w:t>锅炉房2</w:t>
                  </w:r>
                  <w:r>
                    <w:rPr>
                      <w:rFonts w:hint="default" w:ascii="Times New Roman" w:hAnsi="Times New Roman" w:eastAsia="宋体" w:cs="宋体"/>
                      <w:caps w:val="0"/>
                      <w:color w:val="auto"/>
                      <w:spacing w:val="0"/>
                      <w:sz w:val="21"/>
                      <w:szCs w:val="21"/>
                      <w:highlight w:val="none"/>
                      <w:lang w:val="en-US" w:eastAsia="zh-CN"/>
                    </w:rPr>
                    <w:t>产生的废气主要为</w:t>
                  </w:r>
                  <w:r>
                    <w:rPr>
                      <w:rFonts w:hint="eastAsia" w:ascii="Times New Roman" w:hAnsi="Times New Roman" w:eastAsia="宋体" w:cs="宋体"/>
                      <w:caps w:val="0"/>
                      <w:color w:val="auto"/>
                      <w:spacing w:val="0"/>
                      <w:sz w:val="21"/>
                      <w:szCs w:val="21"/>
                      <w:highlight w:val="none"/>
                      <w:lang w:val="en-US" w:eastAsia="zh-CN"/>
                    </w:rPr>
                    <w:t>燃油</w:t>
                  </w:r>
                  <w:r>
                    <w:rPr>
                      <w:rFonts w:hint="default" w:ascii="Times New Roman" w:hAnsi="Times New Roman" w:eastAsia="宋体" w:cs="宋体"/>
                      <w:caps w:val="0"/>
                      <w:color w:val="auto"/>
                      <w:spacing w:val="0"/>
                      <w:sz w:val="21"/>
                      <w:szCs w:val="21"/>
                      <w:highlight w:val="none"/>
                      <w:lang w:val="en-US" w:eastAsia="zh-CN"/>
                    </w:rPr>
                    <w:t>导热油炉</w:t>
                  </w:r>
                  <w:r>
                    <w:rPr>
                      <w:rFonts w:hint="default" w:ascii="Times New Roman" w:hAnsi="Times New Roman" w:eastAsia="宋体" w:cs="宋体"/>
                      <w:caps w:val="0"/>
                      <w:color w:val="auto"/>
                      <w:spacing w:val="0"/>
                      <w:sz w:val="21"/>
                      <w:szCs w:val="21"/>
                      <w:highlight w:val="none"/>
                      <w:lang w:val="en-US" w:eastAsia="zh-CN"/>
                    </w:rPr>
                    <w:t>产生锅炉废气，</w:t>
                  </w:r>
                  <w:r>
                    <w:rPr>
                      <w:rFonts w:hint="eastAsia" w:ascii="Times New Roman" w:hAnsi="Times New Roman" w:eastAsia="宋体" w:cs="宋体"/>
                      <w:caps w:val="0"/>
                      <w:color w:val="auto"/>
                      <w:spacing w:val="0"/>
                      <w:sz w:val="21"/>
                      <w:szCs w:val="21"/>
                      <w:highlight w:val="none"/>
                      <w:lang w:val="en-US" w:eastAsia="zh-CN"/>
                    </w:rPr>
                    <w:t>主要污染物为颗粒物、二氧化硫、氮氧化物、烟气黑度</w:t>
                  </w:r>
                  <w:r>
                    <w:rPr>
                      <w:rFonts w:hint="default"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导热油炉</w:t>
                  </w:r>
                  <w:r>
                    <w:rPr>
                      <w:rFonts w:hint="default" w:ascii="Times New Roman" w:hAnsi="Times New Roman" w:eastAsia="宋体" w:cs="宋体"/>
                      <w:caps w:val="0"/>
                      <w:color w:val="auto"/>
                      <w:spacing w:val="0"/>
                      <w:sz w:val="21"/>
                      <w:szCs w:val="21"/>
                      <w:highlight w:val="none"/>
                      <w:lang w:val="en-US" w:eastAsia="zh-CN"/>
                    </w:rPr>
                    <w:t>配备低氮燃烧器，经低氮燃烧器处理后的烟气</w:t>
                  </w:r>
                  <w:r>
                    <w:rPr>
                      <w:rFonts w:hint="eastAsia" w:ascii="Times New Roman" w:hAnsi="Times New Roman" w:eastAsia="宋体" w:cs="宋体"/>
                      <w:caps w:val="0"/>
                      <w:color w:val="auto"/>
                      <w:spacing w:val="0"/>
                      <w:sz w:val="21"/>
                      <w:szCs w:val="21"/>
                      <w:highlight w:val="none"/>
                      <w:lang w:val="en-US" w:eastAsia="zh-CN"/>
                    </w:rPr>
                    <w:t>通过布袋除尘器净化处理后</w:t>
                  </w:r>
                  <w:r>
                    <w:rPr>
                      <w:rFonts w:hint="default" w:ascii="Times New Roman" w:hAnsi="Times New Roman" w:eastAsia="宋体" w:cs="宋体"/>
                      <w:caps w:val="0"/>
                      <w:color w:val="auto"/>
                      <w:spacing w:val="0"/>
                      <w:sz w:val="21"/>
                      <w:szCs w:val="21"/>
                      <w:highlight w:val="none"/>
                      <w:lang w:val="en-US" w:eastAsia="zh-CN"/>
                    </w:rPr>
                    <w:t>经</w:t>
                  </w:r>
                  <w:r>
                    <w:rPr>
                      <w:rFonts w:hint="eastAsia" w:cs="宋体"/>
                      <w:caps w:val="0"/>
                      <w:color w:val="auto"/>
                      <w:spacing w:val="0"/>
                      <w:sz w:val="21"/>
                      <w:szCs w:val="21"/>
                      <w:highlight w:val="none"/>
                      <w:lang w:val="en-US" w:eastAsia="zh-CN"/>
                    </w:rPr>
                    <w:t>20m高排气筒</w:t>
                  </w:r>
                  <w:r>
                    <w:rPr>
                      <w:rFonts w:hint="default" w:ascii="Times New Roman" w:hAnsi="Times New Roman" w:eastAsia="宋体" w:cs="宋体"/>
                      <w:caps w:val="0"/>
                      <w:color w:val="auto"/>
                      <w:spacing w:val="0"/>
                      <w:sz w:val="21"/>
                      <w:szCs w:val="21"/>
                      <w:highlight w:val="none"/>
                      <w:lang w:val="en-US" w:eastAsia="zh-CN"/>
                    </w:rPr>
                    <w:t>DA0</w:t>
                  </w:r>
                  <w:r>
                    <w:rPr>
                      <w:rFonts w:hint="eastAsia" w:ascii="Times New Roman" w:hAnsi="Times New Roman" w:eastAsia="宋体" w:cs="宋体"/>
                      <w:caps w:val="0"/>
                      <w:color w:val="auto"/>
                      <w:spacing w:val="0"/>
                      <w:sz w:val="21"/>
                      <w:szCs w:val="21"/>
                      <w:highlight w:val="none"/>
                      <w:lang w:val="en-US" w:eastAsia="zh-CN"/>
                    </w:rPr>
                    <w:t>04</w:t>
                  </w:r>
                  <w:r>
                    <w:rPr>
                      <w:rFonts w:hint="default" w:ascii="Times New Roman" w:hAnsi="Times New Roman" w:eastAsia="宋体" w:cs="宋体"/>
                      <w:caps w:val="0"/>
                      <w:color w:val="auto"/>
                      <w:spacing w:val="0"/>
                      <w:sz w:val="21"/>
                      <w:szCs w:val="21"/>
                      <w:highlight w:val="none"/>
                      <w:lang w:val="en-US" w:eastAsia="zh-CN"/>
                    </w:rPr>
                    <w:t>烟囱有组织排放，颗粒物、二氧化硫、氮氧化物</w:t>
                  </w:r>
                  <w:r>
                    <w:rPr>
                      <w:rFonts w:hint="eastAsia" w:ascii="Times New Roman" w:hAnsi="Times New Roman" w:eastAsia="宋体" w:cs="宋体"/>
                      <w:caps w:val="0"/>
                      <w:color w:val="auto"/>
                      <w:spacing w:val="0"/>
                      <w:sz w:val="21"/>
                      <w:szCs w:val="21"/>
                      <w:highlight w:val="none"/>
                      <w:lang w:val="en-US" w:eastAsia="zh-CN"/>
                    </w:rPr>
                    <w:t>、烟气黑度</w:t>
                  </w:r>
                  <w:r>
                    <w:rPr>
                      <w:rFonts w:hint="default" w:ascii="Times New Roman" w:hAnsi="Times New Roman" w:eastAsia="宋体" w:cs="宋体"/>
                      <w:caps w:val="0"/>
                      <w:color w:val="auto"/>
                      <w:spacing w:val="0"/>
                      <w:sz w:val="21"/>
                      <w:szCs w:val="21"/>
                      <w:highlight w:val="none"/>
                      <w:lang w:val="en-US" w:eastAsia="zh-CN"/>
                    </w:rPr>
                    <w:t>废气排放满足《锅炉大气污染物排放标准》（GB13271-2014）表2排放限值。</w:t>
                  </w:r>
                </w:p>
              </w:tc>
              <w:tc>
                <w:tcPr>
                  <w:tcW w:w="689" w:type="dxa"/>
                  <w:tcBorders>
                    <w:tl2br w:val="nil"/>
                    <w:tr2bl w:val="nil"/>
                  </w:tcBorders>
                  <w:noWrap w:val="0"/>
                  <w:vAlign w:val="center"/>
                </w:tcPr>
                <w:p w14:paraId="7406DE08">
                  <w:pPr>
                    <w:pStyle w:val="7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Cs/>
                      <w:caps w:val="0"/>
                      <w:color w:val="auto"/>
                      <w:spacing w:val="0"/>
                      <w:kern w:val="2"/>
                      <w:sz w:val="21"/>
                      <w:szCs w:val="21"/>
                      <w:highlight w:val="none"/>
                      <w:lang w:val="en-US" w:eastAsia="zh-CN" w:bidi="ar-SA"/>
                    </w:rPr>
                  </w:pPr>
                  <w:r>
                    <w:rPr>
                      <w:rFonts w:hint="eastAsia" w:cs="宋体"/>
                      <w:bCs/>
                      <w:caps w:val="0"/>
                      <w:color w:val="auto"/>
                      <w:spacing w:val="0"/>
                      <w:kern w:val="2"/>
                      <w:sz w:val="21"/>
                      <w:szCs w:val="21"/>
                      <w:highlight w:val="none"/>
                      <w:lang w:val="en-US" w:eastAsia="zh-CN" w:bidi="ar-SA"/>
                    </w:rPr>
                    <w:t>新建</w:t>
                  </w:r>
                </w:p>
              </w:tc>
            </w:tr>
            <w:tr w14:paraId="143E68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tcBorders>
                    <w:tl2br w:val="nil"/>
                    <w:tr2bl w:val="nil"/>
                  </w:tcBorders>
                  <w:noWrap w:val="0"/>
                  <w:vAlign w:val="center"/>
                </w:tcPr>
                <w:p w14:paraId="2097A98D">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p>
              </w:tc>
              <w:tc>
                <w:tcPr>
                  <w:tcW w:w="1327" w:type="dxa"/>
                  <w:vMerge w:val="continue"/>
                  <w:tcBorders>
                    <w:tl2br w:val="nil"/>
                    <w:tr2bl w:val="nil"/>
                  </w:tcBorders>
                  <w:noWrap w:val="0"/>
                  <w:vAlign w:val="center"/>
                </w:tcPr>
                <w:p w14:paraId="17ED2618">
                  <w:pPr>
                    <w:pStyle w:val="70"/>
                    <w:spacing w:line="240" w:lineRule="auto"/>
                    <w:jc w:val="center"/>
                    <w:rPr>
                      <w:rFonts w:hint="default" w:ascii="Times New Roman" w:hAnsi="Times New Roman" w:eastAsia="宋体" w:cs="宋体"/>
                      <w:caps w:val="0"/>
                      <w:snapToGrid w:val="0"/>
                      <w:color w:val="auto"/>
                      <w:spacing w:val="0"/>
                      <w:sz w:val="21"/>
                      <w:szCs w:val="21"/>
                      <w:highlight w:val="none"/>
                      <w:lang w:val="en-US" w:eastAsia="zh-CN"/>
                    </w:rPr>
                  </w:pPr>
                </w:p>
              </w:tc>
              <w:tc>
                <w:tcPr>
                  <w:tcW w:w="4498" w:type="dxa"/>
                  <w:tcBorders>
                    <w:tl2br w:val="nil"/>
                    <w:tr2bl w:val="nil"/>
                  </w:tcBorders>
                  <w:noWrap w:val="0"/>
                  <w:vAlign w:val="center"/>
                </w:tcPr>
                <w:p w14:paraId="6242852A">
                  <w:pPr>
                    <w:pStyle w:val="70"/>
                    <w:spacing w:line="240" w:lineRule="auto"/>
                    <w:ind w:firstLine="420" w:firstLineChars="200"/>
                    <w:jc w:val="center"/>
                    <w:rPr>
                      <w:rFonts w:hint="default" w:ascii="Times New Roman" w:hAnsi="Times New Roman" w:eastAsia="宋体" w:cs="宋体"/>
                      <w:caps w:val="0"/>
                      <w:color w:val="auto"/>
                      <w:spacing w:val="0"/>
                      <w:sz w:val="21"/>
                      <w:szCs w:val="21"/>
                      <w:highlight w:val="none"/>
                      <w:lang w:val="en-US" w:eastAsia="zh-CN"/>
                    </w:rPr>
                  </w:pPr>
                  <w:r>
                    <w:rPr>
                      <w:rFonts w:hint="eastAsia" w:cs="宋体"/>
                      <w:caps w:val="0"/>
                      <w:color w:val="auto"/>
                      <w:spacing w:val="0"/>
                      <w:sz w:val="21"/>
                      <w:szCs w:val="21"/>
                      <w:highlight w:val="none"/>
                      <w:lang w:val="en-US" w:eastAsia="zh-CN"/>
                    </w:rPr>
                    <w:t>本项目燃料储罐产生大小呼吸废气，产生的大小呼吸废气非甲烷总烃经呼吸口无组织排放。</w:t>
                  </w:r>
                </w:p>
              </w:tc>
              <w:tc>
                <w:tcPr>
                  <w:tcW w:w="689" w:type="dxa"/>
                  <w:tcBorders>
                    <w:tl2br w:val="nil"/>
                    <w:tr2bl w:val="nil"/>
                  </w:tcBorders>
                  <w:noWrap w:val="0"/>
                  <w:vAlign w:val="center"/>
                </w:tcPr>
                <w:p w14:paraId="625ACB2A">
                  <w:pPr>
                    <w:pStyle w:val="7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s="宋体"/>
                      <w:bCs/>
                      <w:caps w:val="0"/>
                      <w:color w:val="auto"/>
                      <w:spacing w:val="0"/>
                      <w:kern w:val="2"/>
                      <w:sz w:val="21"/>
                      <w:szCs w:val="21"/>
                      <w:highlight w:val="none"/>
                      <w:lang w:val="en-US" w:eastAsia="zh-CN" w:bidi="ar-SA"/>
                    </w:rPr>
                  </w:pPr>
                  <w:r>
                    <w:rPr>
                      <w:rFonts w:hint="eastAsia" w:cs="宋体"/>
                      <w:bCs/>
                      <w:caps w:val="0"/>
                      <w:color w:val="auto"/>
                      <w:spacing w:val="0"/>
                      <w:kern w:val="2"/>
                      <w:sz w:val="21"/>
                      <w:szCs w:val="21"/>
                      <w:highlight w:val="none"/>
                      <w:lang w:val="en-US" w:eastAsia="zh-CN" w:bidi="ar-SA"/>
                    </w:rPr>
                    <w:t>新建</w:t>
                  </w:r>
                </w:p>
              </w:tc>
            </w:tr>
            <w:tr w14:paraId="5FBEFB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dxa"/>
                  <w:vMerge w:val="continue"/>
                  <w:tcBorders>
                    <w:tl2br w:val="nil"/>
                    <w:tr2bl w:val="nil"/>
                  </w:tcBorders>
                  <w:noWrap w:val="0"/>
                  <w:vAlign w:val="center"/>
                </w:tcPr>
                <w:p w14:paraId="4BF06922">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p>
              </w:tc>
              <w:tc>
                <w:tcPr>
                  <w:tcW w:w="1327" w:type="dxa"/>
                  <w:tcBorders>
                    <w:tl2br w:val="nil"/>
                    <w:tr2bl w:val="nil"/>
                  </w:tcBorders>
                  <w:noWrap w:val="0"/>
                  <w:vAlign w:val="center"/>
                </w:tcPr>
                <w:p w14:paraId="4EA3F108">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r>
                    <w:rPr>
                      <w:rFonts w:hint="default" w:ascii="Times New Roman" w:hAnsi="Times New Roman" w:eastAsia="宋体" w:cs="宋体"/>
                      <w:caps w:val="0"/>
                      <w:snapToGrid w:val="0"/>
                      <w:color w:val="auto"/>
                      <w:spacing w:val="0"/>
                      <w:sz w:val="21"/>
                      <w:szCs w:val="21"/>
                      <w:highlight w:val="none"/>
                    </w:rPr>
                    <w:t>固废治理</w:t>
                  </w:r>
                </w:p>
              </w:tc>
              <w:tc>
                <w:tcPr>
                  <w:tcW w:w="4498" w:type="dxa"/>
                  <w:tcBorders>
                    <w:tl2br w:val="nil"/>
                    <w:tr2bl w:val="nil"/>
                  </w:tcBorders>
                  <w:noWrap w:val="0"/>
                  <w:vAlign w:val="center"/>
                </w:tcPr>
                <w:p w14:paraId="2D7B1BFB">
                  <w:pPr>
                    <w:spacing w:line="240" w:lineRule="auto"/>
                    <w:jc w:val="both"/>
                    <w:rPr>
                      <w:rFonts w:hint="default" w:ascii="Times New Roman" w:hAnsi="Times New Roman" w:eastAsia="宋体" w:cs="宋体"/>
                      <w:caps w:val="0"/>
                      <w:highlight w:val="none"/>
                      <w:lang w:val="en-US" w:eastAsia="zh-CN"/>
                    </w:rPr>
                  </w:pPr>
                  <w:r>
                    <w:rPr>
                      <w:rFonts w:hint="default" w:ascii="Times New Roman" w:hAnsi="Times New Roman" w:eastAsia="宋体" w:cs="宋体"/>
                      <w:bCs w:val="0"/>
                      <w:caps w:val="0"/>
                      <w:color w:val="auto"/>
                      <w:spacing w:val="0"/>
                      <w:kern w:val="2"/>
                      <w:sz w:val="21"/>
                      <w:szCs w:val="21"/>
                      <w:highlight w:val="none"/>
                      <w:lang w:val="en-US" w:eastAsia="zh-CN" w:bidi="ar-SA"/>
                    </w:rPr>
                    <w:t>本项目不新增劳动定员，不产生生活垃圾，主要固废为布袋除尘器集尘、废布袋</w:t>
                  </w:r>
                  <w:r>
                    <w:rPr>
                      <w:rFonts w:hint="eastAsia" w:ascii="Times New Roman" w:hAnsi="Times New Roman" w:eastAsia="宋体" w:cs="宋体"/>
                      <w:bCs w:val="0"/>
                      <w:caps w:val="0"/>
                      <w:color w:val="auto"/>
                      <w:spacing w:val="0"/>
                      <w:kern w:val="2"/>
                      <w:sz w:val="21"/>
                      <w:szCs w:val="21"/>
                      <w:highlight w:val="none"/>
                      <w:lang w:val="en-US" w:eastAsia="zh-CN" w:bidi="ar-SA"/>
                    </w:rPr>
                    <w:t>、废导热油、废机油、含油棉纱、废油桶。</w:t>
                  </w:r>
                  <w:r>
                    <w:rPr>
                      <w:rFonts w:hint="default" w:ascii="Times New Roman" w:hAnsi="Times New Roman" w:eastAsia="宋体" w:cs="宋体"/>
                      <w:bCs w:val="0"/>
                      <w:caps w:val="0"/>
                      <w:color w:val="auto"/>
                      <w:spacing w:val="0"/>
                      <w:kern w:val="2"/>
                      <w:sz w:val="21"/>
                      <w:szCs w:val="21"/>
                      <w:highlight w:val="none"/>
                      <w:lang w:val="en-US" w:eastAsia="zh-CN" w:bidi="ar-SA"/>
                    </w:rPr>
                    <w:t>产生的</w:t>
                  </w:r>
                  <w:r>
                    <w:rPr>
                      <w:rFonts w:hint="eastAsia" w:ascii="Times New Roman" w:hAnsi="Times New Roman" w:eastAsia="宋体" w:cs="宋体"/>
                      <w:bCs w:val="0"/>
                      <w:caps w:val="0"/>
                      <w:color w:val="auto"/>
                      <w:spacing w:val="0"/>
                      <w:kern w:val="2"/>
                      <w:sz w:val="21"/>
                      <w:szCs w:val="21"/>
                      <w:highlight w:val="none"/>
                      <w:lang w:val="en-US" w:eastAsia="zh-CN" w:bidi="ar-SA"/>
                    </w:rPr>
                    <w:t>废布袋</w:t>
                  </w:r>
                  <w:r>
                    <w:rPr>
                      <w:rFonts w:hint="default" w:ascii="Times New Roman" w:hAnsi="Times New Roman" w:eastAsia="宋体" w:cs="宋体"/>
                      <w:bCs w:val="0"/>
                      <w:caps w:val="0"/>
                      <w:color w:val="auto"/>
                      <w:spacing w:val="0"/>
                      <w:kern w:val="2"/>
                      <w:sz w:val="21"/>
                      <w:szCs w:val="21"/>
                      <w:highlight w:val="none"/>
                      <w:lang w:val="en-US" w:eastAsia="zh-CN" w:bidi="ar-SA"/>
                    </w:rPr>
                    <w:t>交由厂家回收再生处理。布袋除尘器集尘外售综合利用。</w:t>
                  </w:r>
                  <w:r>
                    <w:rPr>
                      <w:rFonts w:hint="eastAsia" w:ascii="Times New Roman" w:hAnsi="Times New Roman" w:eastAsia="宋体" w:cs="宋体"/>
                      <w:bCs w:val="0"/>
                      <w:caps w:val="0"/>
                      <w:color w:val="auto"/>
                      <w:spacing w:val="0"/>
                      <w:kern w:val="2"/>
                      <w:sz w:val="21"/>
                      <w:szCs w:val="21"/>
                      <w:highlight w:val="none"/>
                      <w:lang w:val="en-US" w:eastAsia="zh-CN" w:bidi="ar-SA"/>
                    </w:rPr>
                    <w:t>废导热油、废机油、含油棉纱、废油桶交有资质单位处置。</w:t>
                  </w:r>
                  <w:r>
                    <w:rPr>
                      <w:rFonts w:hint="eastAsia" w:ascii="Times New Roman" w:hAnsi="Times New Roman" w:cs="宋体"/>
                      <w:bCs w:val="0"/>
                      <w:caps w:val="0"/>
                      <w:color w:val="auto"/>
                      <w:spacing w:val="0"/>
                      <w:kern w:val="2"/>
                      <w:sz w:val="21"/>
                      <w:szCs w:val="21"/>
                      <w:highlight w:val="none"/>
                      <w:lang w:val="en-US" w:eastAsia="zh-CN" w:bidi="ar-SA"/>
                    </w:rPr>
                    <w:t>新建一座</w:t>
                  </w:r>
                  <w:r>
                    <w:rPr>
                      <w:rFonts w:hint="eastAsia" w:ascii="Times New Roman" w:hAnsi="Times New Roman" w:eastAsia="宋体" w:cs="宋体"/>
                      <w:bCs w:val="0"/>
                      <w:caps w:val="0"/>
                      <w:color w:val="auto"/>
                      <w:spacing w:val="0"/>
                      <w:kern w:val="2"/>
                      <w:sz w:val="21"/>
                      <w:szCs w:val="21"/>
                      <w:highlight w:val="none"/>
                      <w:lang w:val="en-US" w:eastAsia="zh-CN" w:bidi="ar-SA"/>
                    </w:rPr>
                    <w:t>危废贮存点位于厂区南侧，建筑面积20m</w:t>
                  </w:r>
                  <w:r>
                    <w:rPr>
                      <w:rFonts w:hint="eastAsia" w:ascii="Times New Roman" w:hAnsi="Times New Roman" w:eastAsia="宋体" w:cs="宋体"/>
                      <w:bCs w:val="0"/>
                      <w:caps w:val="0"/>
                      <w:color w:val="auto"/>
                      <w:spacing w:val="0"/>
                      <w:kern w:val="2"/>
                      <w:sz w:val="21"/>
                      <w:szCs w:val="21"/>
                      <w:highlight w:val="none"/>
                      <w:vertAlign w:val="superscript"/>
                      <w:lang w:val="en-US" w:eastAsia="zh-CN" w:bidi="ar-SA"/>
                    </w:rPr>
                    <w:t>2</w:t>
                  </w:r>
                  <w:r>
                    <w:rPr>
                      <w:rFonts w:hint="eastAsia" w:ascii="Times New Roman" w:hAnsi="Times New Roman" w:eastAsia="宋体" w:cs="宋体"/>
                      <w:bCs w:val="0"/>
                      <w:caps w:val="0"/>
                      <w:color w:val="auto"/>
                      <w:spacing w:val="0"/>
                      <w:kern w:val="2"/>
                      <w:sz w:val="21"/>
                      <w:szCs w:val="21"/>
                      <w:highlight w:val="none"/>
                      <w:lang w:val="en-US" w:eastAsia="zh-CN" w:bidi="ar-SA"/>
                    </w:rPr>
                    <w:t>，地面采用硬化措施，地面和裙脚采用高密度聚乙烯膜（HDPE）进行基础防渗措施，防渗技术要求达到等效粘土防渗层Mb≥2.0mm，K≤1×10</w:t>
                  </w:r>
                  <w:r>
                    <w:rPr>
                      <w:rFonts w:hint="eastAsia" w:ascii="Times New Roman" w:hAnsi="Times New Roman" w:eastAsia="宋体" w:cs="宋体"/>
                      <w:bCs w:val="0"/>
                      <w:caps w:val="0"/>
                      <w:color w:val="auto"/>
                      <w:spacing w:val="0"/>
                      <w:kern w:val="2"/>
                      <w:sz w:val="21"/>
                      <w:szCs w:val="21"/>
                      <w:highlight w:val="none"/>
                      <w:vertAlign w:val="superscript"/>
                      <w:lang w:val="en-US" w:eastAsia="zh-CN" w:bidi="ar-SA"/>
                    </w:rPr>
                    <w:t>-10</w:t>
                  </w:r>
                  <w:r>
                    <w:rPr>
                      <w:rFonts w:hint="eastAsia" w:ascii="Times New Roman" w:hAnsi="Times New Roman" w:eastAsia="宋体" w:cs="宋体"/>
                      <w:bCs w:val="0"/>
                      <w:caps w:val="0"/>
                      <w:color w:val="auto"/>
                      <w:spacing w:val="0"/>
                      <w:kern w:val="2"/>
                      <w:sz w:val="21"/>
                      <w:szCs w:val="21"/>
                      <w:highlight w:val="none"/>
                      <w:lang w:val="en-US" w:eastAsia="zh-CN" w:bidi="ar-SA"/>
                    </w:rPr>
                    <w:t>cm/s</w:t>
                  </w:r>
                  <w:r>
                    <w:rPr>
                      <w:rFonts w:hint="eastAsia" w:ascii="Times New Roman" w:hAnsi="Times New Roman" w:cs="宋体"/>
                      <w:bCs w:val="0"/>
                      <w:caps w:val="0"/>
                      <w:color w:val="auto"/>
                      <w:spacing w:val="0"/>
                      <w:kern w:val="2"/>
                      <w:sz w:val="21"/>
                      <w:szCs w:val="21"/>
                      <w:highlight w:val="none"/>
                      <w:lang w:val="en-US" w:eastAsia="zh-CN" w:bidi="ar-SA"/>
                    </w:rPr>
                    <w:t>。</w:t>
                  </w:r>
                </w:p>
              </w:tc>
              <w:tc>
                <w:tcPr>
                  <w:tcW w:w="689" w:type="dxa"/>
                  <w:tcBorders>
                    <w:tl2br w:val="nil"/>
                    <w:tr2bl w:val="nil"/>
                  </w:tcBorders>
                  <w:noWrap w:val="0"/>
                  <w:vAlign w:val="center"/>
                </w:tcPr>
                <w:p w14:paraId="645C871E">
                  <w:p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lang w:val="en-US" w:eastAsia="zh-CN" w:bidi="ar-SA"/>
                    </w:rPr>
                  </w:pPr>
                  <w:r>
                    <w:rPr>
                      <w:rFonts w:hint="default" w:ascii="Times New Roman" w:hAnsi="Times New Roman" w:eastAsia="宋体" w:cs="宋体"/>
                      <w:bCs/>
                      <w:caps w:val="0"/>
                      <w:color w:val="auto"/>
                      <w:spacing w:val="0"/>
                      <w:kern w:val="2"/>
                      <w:sz w:val="21"/>
                      <w:szCs w:val="21"/>
                      <w:highlight w:val="none"/>
                      <w:lang w:val="en-US" w:eastAsia="zh-CN" w:bidi="ar-SA"/>
                    </w:rPr>
                    <w:t>新建</w:t>
                  </w:r>
                </w:p>
              </w:tc>
            </w:tr>
            <w:tr w14:paraId="568EC1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257" w:type="dxa"/>
                  <w:vMerge w:val="continue"/>
                  <w:tcBorders>
                    <w:tl2br w:val="nil"/>
                    <w:tr2bl w:val="nil"/>
                  </w:tcBorders>
                  <w:noWrap w:val="0"/>
                  <w:vAlign w:val="center"/>
                </w:tcPr>
                <w:p w14:paraId="75391A4F">
                  <w:pPr>
                    <w:pStyle w:val="70"/>
                    <w:spacing w:line="240" w:lineRule="auto"/>
                    <w:jc w:val="center"/>
                    <w:rPr>
                      <w:rFonts w:hint="default" w:ascii="Times New Roman" w:hAnsi="Times New Roman" w:eastAsia="宋体" w:cs="宋体"/>
                      <w:caps w:val="0"/>
                      <w:snapToGrid w:val="0"/>
                      <w:color w:val="auto"/>
                      <w:spacing w:val="0"/>
                      <w:sz w:val="21"/>
                      <w:szCs w:val="21"/>
                      <w:highlight w:val="none"/>
                    </w:rPr>
                  </w:pPr>
                </w:p>
              </w:tc>
              <w:tc>
                <w:tcPr>
                  <w:tcW w:w="1327" w:type="dxa"/>
                  <w:vMerge w:val="restart"/>
                  <w:tcBorders>
                    <w:tl2br w:val="nil"/>
                    <w:tr2bl w:val="nil"/>
                  </w:tcBorders>
                  <w:noWrap w:val="0"/>
                  <w:vAlign w:val="center"/>
                </w:tcPr>
                <w:p w14:paraId="789EA6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snapToGrid w:val="0"/>
                      <w:color w:val="auto"/>
                      <w:spacing w:val="0"/>
                      <w:sz w:val="21"/>
                      <w:szCs w:val="21"/>
                      <w:highlight w:val="none"/>
                      <w:lang w:val="en-US" w:eastAsia="zh-CN"/>
                    </w:rPr>
                  </w:pPr>
                  <w:r>
                    <w:rPr>
                      <w:rFonts w:hint="eastAsia" w:ascii="Times New Roman" w:hAnsi="Times New Roman" w:eastAsia="宋体" w:cs="宋体"/>
                      <w:caps w:val="0"/>
                      <w:color w:val="auto"/>
                      <w:sz w:val="21"/>
                      <w:szCs w:val="21"/>
                      <w:highlight w:val="none"/>
                    </w:rPr>
                    <w:t>地下水污染防治措施</w:t>
                  </w:r>
                </w:p>
              </w:tc>
              <w:tc>
                <w:tcPr>
                  <w:tcW w:w="4498" w:type="dxa"/>
                  <w:tcBorders>
                    <w:tl2br w:val="nil"/>
                    <w:tr2bl w:val="nil"/>
                  </w:tcBorders>
                  <w:noWrap w:val="0"/>
                  <w:vAlign w:val="center"/>
                </w:tcPr>
                <w:p w14:paraId="358923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caps w:val="0"/>
                      <w:color w:val="auto"/>
                      <w:sz w:val="21"/>
                      <w:szCs w:val="21"/>
                      <w:highlight w:val="none"/>
                    </w:rPr>
                    <w:t>重点防渗区域：</w:t>
                  </w:r>
                  <w:r>
                    <w:rPr>
                      <w:rFonts w:hint="eastAsia" w:ascii="Times New Roman" w:hAnsi="Times New Roman" w:eastAsia="宋体" w:cs="宋体"/>
                      <w:caps w:val="0"/>
                      <w:color w:val="auto"/>
                      <w:sz w:val="21"/>
                      <w:szCs w:val="21"/>
                      <w:highlight w:val="none"/>
                      <w:lang w:val="en-US" w:eastAsia="zh-CN"/>
                    </w:rPr>
                    <w:t>锅炉房、</w:t>
                  </w:r>
                  <w:r>
                    <w:rPr>
                      <w:rFonts w:hint="eastAsia" w:ascii="Times New Roman" w:hAnsi="Times New Roman" w:cs="宋体"/>
                      <w:caps w:val="0"/>
                      <w:color w:val="auto"/>
                      <w:sz w:val="21"/>
                      <w:szCs w:val="21"/>
                      <w:highlight w:val="none"/>
                      <w:lang w:val="en-US" w:eastAsia="zh-CN"/>
                    </w:rPr>
                    <w:t>燃料储罐</w:t>
                  </w:r>
                  <w:r>
                    <w:rPr>
                      <w:rFonts w:hint="eastAsia" w:ascii="Times New Roman" w:hAnsi="Times New Roman" w:eastAsia="宋体" w:cs="宋体"/>
                      <w:caps w:val="0"/>
                      <w:color w:val="auto"/>
                      <w:sz w:val="21"/>
                      <w:szCs w:val="21"/>
                      <w:highlight w:val="none"/>
                      <w:lang w:val="en-US" w:eastAsia="zh-CN"/>
                    </w:rPr>
                    <w:t>和</w:t>
                  </w:r>
                  <w:r>
                    <w:rPr>
                      <w:rFonts w:hint="eastAsia" w:ascii="Times New Roman" w:hAnsi="Times New Roman" w:cs="宋体"/>
                      <w:caps w:val="0"/>
                      <w:color w:val="auto"/>
                      <w:sz w:val="21"/>
                      <w:szCs w:val="21"/>
                      <w:highlight w:val="none"/>
                      <w:lang w:val="en-US" w:eastAsia="zh-CN"/>
                    </w:rPr>
                    <w:t>燃料储罐</w:t>
                  </w:r>
                  <w:r>
                    <w:rPr>
                      <w:rFonts w:hint="eastAsia" w:ascii="Times New Roman" w:hAnsi="Times New Roman" w:eastAsia="宋体" w:cs="宋体"/>
                      <w:caps w:val="0"/>
                      <w:color w:val="auto"/>
                      <w:sz w:val="21"/>
                      <w:szCs w:val="21"/>
                      <w:highlight w:val="none"/>
                      <w:lang w:val="en-US" w:eastAsia="zh-CN"/>
                    </w:rPr>
                    <w:t>北侧的事故池（15m</w:t>
                  </w:r>
                  <w:r>
                    <w:rPr>
                      <w:rFonts w:hint="eastAsia" w:ascii="Times New Roman" w:hAnsi="Times New Roman" w:eastAsia="宋体" w:cs="宋体"/>
                      <w:caps w:val="0"/>
                      <w:color w:val="auto"/>
                      <w:sz w:val="21"/>
                      <w:szCs w:val="21"/>
                      <w:highlight w:val="none"/>
                      <w:vertAlign w:val="superscript"/>
                      <w:lang w:val="en-US" w:eastAsia="zh-CN"/>
                    </w:rPr>
                    <w:t>3</w:t>
                  </w:r>
                  <w:r>
                    <w:rPr>
                      <w:rFonts w:hint="eastAsia" w:ascii="Times New Roman" w:hAnsi="Times New Roman" w:eastAsia="宋体" w:cs="宋体"/>
                      <w:caps w:val="0"/>
                      <w:color w:val="auto"/>
                      <w:sz w:val="21"/>
                      <w:szCs w:val="21"/>
                      <w:highlight w:val="none"/>
                      <w:lang w:val="en-US" w:eastAsia="zh-CN"/>
                    </w:rPr>
                    <w:t>）</w:t>
                  </w:r>
                  <w:r>
                    <w:rPr>
                      <w:rFonts w:hint="eastAsia" w:ascii="Times New Roman" w:hAnsi="Times New Roman" w:eastAsia="宋体" w:cs="宋体"/>
                      <w:caps w:val="0"/>
                      <w:color w:val="auto"/>
                      <w:sz w:val="21"/>
                      <w:szCs w:val="21"/>
                      <w:highlight w:val="none"/>
                    </w:rPr>
                    <w:t>防渗按等效粘土层厚度要≥6</w:t>
                  </w:r>
                  <w:r>
                    <w:rPr>
                      <w:rFonts w:hint="eastAsia" w:ascii="Times New Roman" w:hAnsi="Times New Roman" w:eastAsia="宋体" w:cs="宋体"/>
                      <w:caps w:val="0"/>
                      <w:color w:val="auto"/>
                      <w:sz w:val="21"/>
                      <w:szCs w:val="21"/>
                      <w:highlight w:val="none"/>
                      <w:lang w:eastAsia="zh-CN"/>
                    </w:rPr>
                    <w:t>.</w:t>
                  </w:r>
                  <w:r>
                    <w:rPr>
                      <w:rFonts w:hint="eastAsia" w:ascii="Times New Roman" w:hAnsi="Times New Roman" w:eastAsia="宋体" w:cs="宋体"/>
                      <w:caps w:val="0"/>
                      <w:color w:val="auto"/>
                      <w:sz w:val="21"/>
                      <w:szCs w:val="21"/>
                      <w:highlight w:val="none"/>
                    </w:rPr>
                    <w:t>0m，满足渗透系数K≤1</w:t>
                  </w:r>
                  <w:r>
                    <w:rPr>
                      <w:rFonts w:hint="eastAsia" w:ascii="Times New Roman" w:hAnsi="Times New Roman" w:eastAsia="宋体" w:cs="宋体"/>
                      <w:caps w:val="0"/>
                      <w:color w:val="auto"/>
                      <w:sz w:val="21"/>
                      <w:szCs w:val="21"/>
                      <w:highlight w:val="none"/>
                      <w:lang w:eastAsia="zh-CN"/>
                    </w:rPr>
                    <w:t>.</w:t>
                  </w:r>
                  <w:r>
                    <w:rPr>
                      <w:rFonts w:hint="eastAsia" w:ascii="Times New Roman" w:hAnsi="Times New Roman" w:eastAsia="宋体" w:cs="宋体"/>
                      <w:caps w:val="0"/>
                      <w:color w:val="auto"/>
                      <w:sz w:val="21"/>
                      <w:szCs w:val="21"/>
                      <w:highlight w:val="none"/>
                    </w:rPr>
                    <w:t>0×10</w:t>
                  </w:r>
                  <w:r>
                    <w:rPr>
                      <w:rFonts w:hint="eastAsia" w:ascii="Times New Roman" w:hAnsi="Times New Roman" w:eastAsia="宋体" w:cs="宋体"/>
                      <w:caps w:val="0"/>
                      <w:color w:val="auto"/>
                      <w:sz w:val="21"/>
                      <w:szCs w:val="21"/>
                      <w:highlight w:val="none"/>
                      <w:vertAlign w:val="superscript"/>
                    </w:rPr>
                    <w:t>-7</w:t>
                  </w:r>
                  <w:r>
                    <w:rPr>
                      <w:rFonts w:hint="eastAsia" w:ascii="Times New Roman" w:hAnsi="Times New Roman" w:eastAsia="宋体" w:cs="宋体"/>
                      <w:caps w:val="0"/>
                      <w:color w:val="auto"/>
                      <w:sz w:val="21"/>
                      <w:szCs w:val="21"/>
                      <w:highlight w:val="none"/>
                    </w:rPr>
                    <w:t>cm/s设计；防渗粘土层（至少1m厚）上部及侧面铺设1</w:t>
                  </w:r>
                  <w:r>
                    <w:rPr>
                      <w:rFonts w:hint="eastAsia" w:ascii="Times New Roman" w:hAnsi="Times New Roman" w:eastAsia="宋体" w:cs="宋体"/>
                      <w:caps w:val="0"/>
                      <w:color w:val="auto"/>
                      <w:sz w:val="21"/>
                      <w:szCs w:val="21"/>
                      <w:highlight w:val="none"/>
                      <w:lang w:eastAsia="zh-CN"/>
                    </w:rPr>
                    <w:t>.</w:t>
                  </w:r>
                  <w:r>
                    <w:rPr>
                      <w:rFonts w:hint="eastAsia" w:ascii="Times New Roman" w:hAnsi="Times New Roman" w:eastAsia="宋体" w:cs="宋体"/>
                      <w:caps w:val="0"/>
                      <w:color w:val="auto"/>
                      <w:sz w:val="21"/>
                      <w:szCs w:val="21"/>
                      <w:highlight w:val="none"/>
                    </w:rPr>
                    <w:t>0mm高密度聚乙烯（HDPE）防渗膜（渗透系数K≤10</w:t>
                  </w:r>
                  <w:r>
                    <w:rPr>
                      <w:rFonts w:hint="eastAsia" w:ascii="Times New Roman" w:hAnsi="Times New Roman" w:eastAsia="宋体" w:cs="宋体"/>
                      <w:caps w:val="0"/>
                      <w:color w:val="auto"/>
                      <w:sz w:val="21"/>
                      <w:szCs w:val="21"/>
                      <w:highlight w:val="none"/>
                      <w:vertAlign w:val="superscript"/>
                    </w:rPr>
                    <w:t>-12</w:t>
                  </w:r>
                  <w:r>
                    <w:rPr>
                      <w:rFonts w:hint="eastAsia" w:ascii="Times New Roman" w:hAnsi="Times New Roman" w:eastAsia="宋体" w:cs="宋体"/>
                      <w:caps w:val="0"/>
                      <w:color w:val="auto"/>
                      <w:sz w:val="21"/>
                      <w:szCs w:val="21"/>
                      <w:highlight w:val="none"/>
                    </w:rPr>
                    <w:t>cm/s），防渗基础上进行水泥硬化，并喷涂防腐防酸漆。危废</w:t>
                  </w:r>
                  <w:r>
                    <w:rPr>
                      <w:rFonts w:hint="eastAsia" w:ascii="Times New Roman" w:hAnsi="Times New Roman" w:eastAsia="宋体" w:cs="宋体"/>
                      <w:caps w:val="0"/>
                      <w:color w:val="auto"/>
                      <w:sz w:val="21"/>
                      <w:szCs w:val="21"/>
                      <w:highlight w:val="none"/>
                      <w:lang w:val="en-US" w:eastAsia="zh-CN"/>
                    </w:rPr>
                    <w:t>贮存点</w:t>
                  </w:r>
                  <w:r>
                    <w:rPr>
                      <w:rFonts w:hint="eastAsia" w:ascii="Times New Roman" w:hAnsi="Times New Roman" w:eastAsia="宋体" w:cs="宋体"/>
                      <w:caps w:val="0"/>
                      <w:color w:val="auto"/>
                      <w:sz w:val="21"/>
                      <w:szCs w:val="21"/>
                      <w:highlight w:val="none"/>
                    </w:rPr>
                    <w:t>按照《危险废物贮存污染控制标准》（GB18597-2023）中的要求设计防渗方案：</w:t>
                  </w:r>
                  <w:r>
                    <w:rPr>
                      <w:rFonts w:hint="eastAsia" w:ascii="Times New Roman" w:hAnsi="Times New Roman" w:eastAsia="宋体" w:cs="宋体"/>
                      <w:bCs w:val="0"/>
                      <w:caps w:val="0"/>
                      <w:color w:val="auto"/>
                      <w:spacing w:val="0"/>
                      <w:kern w:val="2"/>
                      <w:sz w:val="21"/>
                      <w:szCs w:val="21"/>
                      <w:highlight w:val="none"/>
                      <w:lang w:val="en-US" w:eastAsia="zh-CN" w:bidi="ar-SA"/>
                    </w:rPr>
                    <w:t>采用高密度聚乙烯膜（HDPE）进行基础防渗措施，防渗技术要求达到等效粘土防渗层Mb≥2.0mm，K≤1×10</w:t>
                  </w:r>
                  <w:r>
                    <w:rPr>
                      <w:rFonts w:hint="eastAsia" w:ascii="Times New Roman" w:hAnsi="Times New Roman" w:eastAsia="宋体" w:cs="宋体"/>
                      <w:bCs w:val="0"/>
                      <w:caps w:val="0"/>
                      <w:color w:val="auto"/>
                      <w:spacing w:val="0"/>
                      <w:kern w:val="2"/>
                      <w:sz w:val="21"/>
                      <w:szCs w:val="21"/>
                      <w:highlight w:val="none"/>
                      <w:vertAlign w:val="superscript"/>
                      <w:lang w:val="en-US" w:eastAsia="zh-CN" w:bidi="ar-SA"/>
                    </w:rPr>
                    <w:t>-10</w:t>
                  </w:r>
                  <w:r>
                    <w:rPr>
                      <w:rFonts w:hint="eastAsia" w:ascii="Times New Roman" w:hAnsi="Times New Roman" w:eastAsia="宋体" w:cs="宋体"/>
                      <w:bCs w:val="0"/>
                      <w:caps w:val="0"/>
                      <w:color w:val="auto"/>
                      <w:spacing w:val="0"/>
                      <w:kern w:val="2"/>
                      <w:sz w:val="21"/>
                      <w:szCs w:val="21"/>
                      <w:highlight w:val="none"/>
                      <w:lang w:val="en-US" w:eastAsia="zh-CN" w:bidi="ar-SA"/>
                    </w:rPr>
                    <w:t>cm/s</w:t>
                  </w:r>
                  <w:r>
                    <w:rPr>
                      <w:rFonts w:hint="eastAsia" w:ascii="Times New Roman" w:hAnsi="Times New Roman" w:eastAsia="宋体" w:cs="宋体"/>
                      <w:caps w:val="0"/>
                      <w:color w:val="auto"/>
                      <w:sz w:val="21"/>
                      <w:szCs w:val="21"/>
                      <w:highlight w:val="none"/>
                    </w:rPr>
                    <w:t>。</w:t>
                  </w:r>
                </w:p>
              </w:tc>
              <w:tc>
                <w:tcPr>
                  <w:tcW w:w="689" w:type="dxa"/>
                  <w:vMerge w:val="restart"/>
                  <w:tcBorders>
                    <w:tl2br w:val="nil"/>
                    <w:tr2bl w:val="nil"/>
                  </w:tcBorders>
                  <w:noWrap w:val="0"/>
                  <w:vAlign w:val="center"/>
                </w:tcPr>
                <w:p w14:paraId="11A5B2B8">
                  <w:p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lang w:val="en-US" w:eastAsia="zh-CN" w:bidi="ar-SA"/>
                    </w:rPr>
                  </w:pPr>
                  <w:r>
                    <w:rPr>
                      <w:rFonts w:hint="eastAsia" w:ascii="Times New Roman" w:hAnsi="Times New Roman" w:eastAsia="宋体" w:cs="宋体"/>
                      <w:bCs/>
                      <w:caps w:val="0"/>
                      <w:color w:val="auto"/>
                      <w:spacing w:val="0"/>
                      <w:kern w:val="2"/>
                      <w:sz w:val="21"/>
                      <w:szCs w:val="21"/>
                      <w:highlight w:val="none"/>
                      <w:lang w:val="en-US" w:eastAsia="zh-CN" w:bidi="ar-SA"/>
                    </w:rPr>
                    <w:t>新建</w:t>
                  </w:r>
                </w:p>
              </w:tc>
            </w:tr>
            <w:tr w14:paraId="6A2C76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257" w:type="dxa"/>
                  <w:vMerge w:val="continue"/>
                  <w:tcBorders>
                    <w:tl2br w:val="nil"/>
                    <w:tr2bl w:val="nil"/>
                  </w:tcBorders>
                  <w:noWrap w:val="0"/>
                  <w:vAlign w:val="center"/>
                </w:tcPr>
                <w:p w14:paraId="41D9D966">
                  <w:pPr>
                    <w:spacing w:line="240" w:lineRule="auto"/>
                    <w:jc w:val="both"/>
                    <w:rPr>
                      <w:rFonts w:ascii="Times New Roman" w:hAnsi="Times New Roman" w:eastAsia="宋体" w:cs="宋体"/>
                      <w:caps w:val="0"/>
                      <w:highlight w:val="none"/>
                    </w:rPr>
                  </w:pPr>
                </w:p>
              </w:tc>
              <w:tc>
                <w:tcPr>
                  <w:tcW w:w="1327" w:type="dxa"/>
                  <w:vMerge w:val="continue"/>
                  <w:tcBorders>
                    <w:tl2br w:val="nil"/>
                    <w:tr2bl w:val="nil"/>
                  </w:tcBorders>
                  <w:noWrap w:val="0"/>
                  <w:vAlign w:val="center"/>
                </w:tcPr>
                <w:p w14:paraId="1872A6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宋体"/>
                      <w:caps w:val="0"/>
                      <w:sz w:val="21"/>
                      <w:szCs w:val="21"/>
                      <w:highlight w:val="none"/>
                    </w:rPr>
                  </w:pPr>
                </w:p>
              </w:tc>
              <w:tc>
                <w:tcPr>
                  <w:tcW w:w="4498" w:type="dxa"/>
                  <w:tcBorders>
                    <w:tl2br w:val="nil"/>
                    <w:tr2bl w:val="nil"/>
                  </w:tcBorders>
                  <w:noWrap w:val="0"/>
                  <w:vAlign w:val="center"/>
                </w:tcPr>
                <w:p w14:paraId="26D151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caps w:val="0"/>
                      <w:color w:val="auto"/>
                      <w:sz w:val="21"/>
                      <w:szCs w:val="21"/>
                      <w:highlight w:val="none"/>
                    </w:rPr>
                    <w:t>一般防渗区：</w:t>
                  </w:r>
                  <w:r>
                    <w:rPr>
                      <w:rFonts w:hint="eastAsia" w:ascii="Times New Roman" w:hAnsi="Times New Roman" w:eastAsia="宋体" w:cs="宋体"/>
                      <w:caps w:val="0"/>
                      <w:color w:val="auto"/>
                      <w:sz w:val="21"/>
                      <w:szCs w:val="21"/>
                      <w:highlight w:val="none"/>
                      <w:lang w:val="en-US" w:eastAsia="zh-CN"/>
                    </w:rPr>
                    <w:t>生产车间</w:t>
                  </w:r>
                  <w:r>
                    <w:rPr>
                      <w:rFonts w:hint="eastAsia" w:ascii="Times New Roman" w:hAnsi="Times New Roman" w:eastAsia="宋体" w:cs="宋体"/>
                      <w:caps w:val="0"/>
                      <w:color w:val="auto"/>
                      <w:sz w:val="21"/>
                      <w:szCs w:val="21"/>
                      <w:highlight w:val="none"/>
                    </w:rPr>
                    <w:t>为一般防渗区，</w:t>
                  </w:r>
                  <w:r>
                    <w:rPr>
                      <w:rFonts w:hint="eastAsia" w:ascii="Times New Roman" w:hAnsi="Times New Roman" w:eastAsia="宋体" w:cs="宋体"/>
                      <w:caps w:val="0"/>
                      <w:color w:val="auto"/>
                      <w:sz w:val="21"/>
                      <w:szCs w:val="21"/>
                      <w:highlight w:val="none"/>
                      <w:lang w:val="en-US" w:eastAsia="zh-CN"/>
                    </w:rPr>
                    <w:t>采用抗渗水泥混凝土，</w:t>
                  </w:r>
                  <w:r>
                    <w:rPr>
                      <w:rFonts w:hint="eastAsia" w:ascii="Times New Roman" w:hAnsi="Times New Roman" w:eastAsia="宋体" w:cs="宋体"/>
                      <w:caps w:val="0"/>
                      <w:color w:val="auto"/>
                      <w:sz w:val="21"/>
                      <w:szCs w:val="21"/>
                      <w:highlight w:val="none"/>
                    </w:rPr>
                    <w:t>防渗的设计标准应符合等效粘土防渗层 Mb≥1</w:t>
                  </w:r>
                  <w:r>
                    <w:rPr>
                      <w:rFonts w:hint="eastAsia" w:ascii="Times New Roman" w:hAnsi="Times New Roman" w:eastAsia="宋体" w:cs="宋体"/>
                      <w:caps w:val="0"/>
                      <w:color w:val="auto"/>
                      <w:sz w:val="21"/>
                      <w:szCs w:val="21"/>
                      <w:highlight w:val="none"/>
                      <w:lang w:eastAsia="zh-CN"/>
                    </w:rPr>
                    <w:t>.</w:t>
                  </w:r>
                  <w:r>
                    <w:rPr>
                      <w:rFonts w:hint="eastAsia" w:ascii="Times New Roman" w:hAnsi="Times New Roman" w:eastAsia="宋体" w:cs="宋体"/>
                      <w:caps w:val="0"/>
                      <w:color w:val="auto"/>
                      <w:sz w:val="21"/>
                      <w:szCs w:val="21"/>
                      <w:highlight w:val="none"/>
                    </w:rPr>
                    <w:t>5m、K≤1</w:t>
                  </w:r>
                  <w:r>
                    <w:rPr>
                      <w:rFonts w:hint="eastAsia" w:ascii="Times New Roman" w:hAnsi="Times New Roman" w:eastAsia="宋体" w:cs="宋体"/>
                      <w:caps w:val="0"/>
                      <w:color w:val="auto"/>
                      <w:sz w:val="21"/>
                      <w:szCs w:val="21"/>
                      <w:highlight w:val="none"/>
                      <w:lang w:eastAsia="zh-CN"/>
                    </w:rPr>
                    <w:t>.</w:t>
                  </w:r>
                  <w:r>
                    <w:rPr>
                      <w:rFonts w:hint="eastAsia" w:ascii="Times New Roman" w:hAnsi="Times New Roman" w:eastAsia="宋体" w:cs="宋体"/>
                      <w:caps w:val="0"/>
                      <w:color w:val="auto"/>
                      <w:sz w:val="21"/>
                      <w:szCs w:val="21"/>
                      <w:highlight w:val="none"/>
                    </w:rPr>
                    <w:t>0×10</w:t>
                  </w:r>
                  <w:r>
                    <w:rPr>
                      <w:rFonts w:hint="eastAsia" w:ascii="Times New Roman" w:hAnsi="Times New Roman" w:eastAsia="宋体" w:cs="宋体"/>
                      <w:caps w:val="0"/>
                      <w:color w:val="auto"/>
                      <w:sz w:val="21"/>
                      <w:szCs w:val="21"/>
                      <w:highlight w:val="none"/>
                      <w:vertAlign w:val="superscript"/>
                    </w:rPr>
                    <w:t>-7</w:t>
                  </w:r>
                  <w:r>
                    <w:rPr>
                      <w:rFonts w:hint="eastAsia" w:ascii="Times New Roman" w:hAnsi="Times New Roman" w:eastAsia="宋体" w:cs="宋体"/>
                      <w:caps w:val="0"/>
                      <w:color w:val="auto"/>
                      <w:sz w:val="21"/>
                      <w:szCs w:val="21"/>
                      <w:highlight w:val="none"/>
                    </w:rPr>
                    <w:t>cm/s 要求。</w:t>
                  </w:r>
                </w:p>
              </w:tc>
              <w:tc>
                <w:tcPr>
                  <w:tcW w:w="689" w:type="dxa"/>
                  <w:vMerge w:val="continue"/>
                  <w:tcBorders>
                    <w:tl2br w:val="nil"/>
                    <w:tr2bl w:val="nil"/>
                  </w:tcBorders>
                  <w:noWrap w:val="0"/>
                  <w:vAlign w:val="center"/>
                </w:tcPr>
                <w:p w14:paraId="45360D65">
                  <w:pPr>
                    <w:spacing w:line="240" w:lineRule="auto"/>
                    <w:jc w:val="both"/>
                    <w:rPr>
                      <w:rFonts w:hint="default" w:ascii="Times New Roman" w:hAnsi="Times New Roman" w:eastAsia="宋体" w:cs="宋体"/>
                      <w:bCs w:val="0"/>
                      <w:caps w:val="0"/>
                      <w:color w:val="auto"/>
                      <w:spacing w:val="0"/>
                      <w:kern w:val="2"/>
                      <w:sz w:val="21"/>
                      <w:szCs w:val="21"/>
                      <w:highlight w:val="none"/>
                      <w:lang w:val="en-US" w:eastAsia="zh-CN" w:bidi="ar-SA"/>
                    </w:rPr>
                  </w:pPr>
                </w:p>
              </w:tc>
            </w:tr>
            <w:tr w14:paraId="46DCDC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257" w:type="dxa"/>
                  <w:vMerge w:val="continue"/>
                  <w:tcBorders>
                    <w:tl2br w:val="nil"/>
                    <w:tr2bl w:val="nil"/>
                  </w:tcBorders>
                  <w:noWrap w:val="0"/>
                  <w:vAlign w:val="center"/>
                </w:tcPr>
                <w:p w14:paraId="39FE2E5B">
                  <w:pPr>
                    <w:spacing w:line="240" w:lineRule="auto"/>
                    <w:jc w:val="both"/>
                    <w:rPr>
                      <w:rFonts w:hint="default" w:ascii="Times New Roman" w:hAnsi="Times New Roman" w:eastAsia="宋体" w:cs="宋体"/>
                      <w:bCs w:val="0"/>
                      <w:caps w:val="0"/>
                      <w:color w:val="auto"/>
                      <w:spacing w:val="0"/>
                      <w:kern w:val="2"/>
                      <w:sz w:val="21"/>
                      <w:szCs w:val="21"/>
                      <w:highlight w:val="none"/>
                      <w:lang w:val="en-US" w:eastAsia="zh-CN" w:bidi="ar-SA"/>
                    </w:rPr>
                  </w:pPr>
                </w:p>
              </w:tc>
              <w:tc>
                <w:tcPr>
                  <w:tcW w:w="1327" w:type="dxa"/>
                  <w:vMerge w:val="continue"/>
                  <w:tcBorders>
                    <w:tl2br w:val="nil"/>
                    <w:tr2bl w:val="nil"/>
                  </w:tcBorders>
                  <w:noWrap w:val="0"/>
                  <w:vAlign w:val="center"/>
                </w:tcPr>
                <w:p w14:paraId="1F2635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val="0"/>
                      <w:caps w:val="0"/>
                      <w:color w:val="auto"/>
                      <w:spacing w:val="0"/>
                      <w:kern w:val="2"/>
                      <w:sz w:val="21"/>
                      <w:szCs w:val="21"/>
                      <w:highlight w:val="none"/>
                      <w:lang w:val="en-US" w:eastAsia="zh-CN" w:bidi="ar-SA"/>
                    </w:rPr>
                  </w:pPr>
                </w:p>
              </w:tc>
              <w:tc>
                <w:tcPr>
                  <w:tcW w:w="4498" w:type="dxa"/>
                  <w:tcBorders>
                    <w:tl2br w:val="nil"/>
                    <w:tr2bl w:val="nil"/>
                  </w:tcBorders>
                  <w:noWrap w:val="0"/>
                  <w:vAlign w:val="center"/>
                </w:tcPr>
                <w:p w14:paraId="475C59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caps w:val="0"/>
                      <w:color w:val="auto"/>
                      <w:sz w:val="21"/>
                      <w:szCs w:val="21"/>
                      <w:highlight w:val="none"/>
                    </w:rPr>
                    <w:t>一般防渗区以外的地面，做一般地面硬化。</w:t>
                  </w:r>
                </w:p>
              </w:tc>
              <w:tc>
                <w:tcPr>
                  <w:tcW w:w="689" w:type="dxa"/>
                  <w:vMerge w:val="continue"/>
                  <w:tcBorders>
                    <w:tl2br w:val="nil"/>
                    <w:tr2bl w:val="nil"/>
                  </w:tcBorders>
                  <w:noWrap w:val="0"/>
                  <w:vAlign w:val="center"/>
                </w:tcPr>
                <w:p w14:paraId="69E68156">
                  <w:pPr>
                    <w:spacing w:line="240" w:lineRule="auto"/>
                    <w:jc w:val="both"/>
                    <w:rPr>
                      <w:rFonts w:hint="default" w:ascii="Times New Roman" w:hAnsi="Times New Roman" w:eastAsia="宋体" w:cs="宋体"/>
                      <w:bCs w:val="0"/>
                      <w:caps w:val="0"/>
                      <w:color w:val="auto"/>
                      <w:spacing w:val="0"/>
                      <w:kern w:val="2"/>
                      <w:sz w:val="21"/>
                      <w:szCs w:val="21"/>
                      <w:highlight w:val="none"/>
                      <w:lang w:val="en-US" w:eastAsia="zh-CN" w:bidi="ar-SA"/>
                    </w:rPr>
                  </w:pPr>
                </w:p>
              </w:tc>
            </w:tr>
            <w:tr w14:paraId="279F7B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257" w:type="dxa"/>
                  <w:tcBorders>
                    <w:tl2br w:val="nil"/>
                    <w:tr2bl w:val="nil"/>
                  </w:tcBorders>
                  <w:noWrap w:val="0"/>
                  <w:vAlign w:val="center"/>
                </w:tcPr>
                <w:p w14:paraId="7AB07AF7">
                  <w:pPr>
                    <w:pStyle w:val="70"/>
                    <w:spacing w:line="240" w:lineRule="auto"/>
                    <w:jc w:val="center"/>
                    <w:rPr>
                      <w:rFonts w:hint="default"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依托工程</w:t>
                  </w:r>
                </w:p>
              </w:tc>
              <w:tc>
                <w:tcPr>
                  <w:tcW w:w="1327" w:type="dxa"/>
                  <w:tcBorders>
                    <w:tl2br w:val="nil"/>
                    <w:tr2bl w:val="nil"/>
                  </w:tcBorders>
                  <w:noWrap w:val="0"/>
                  <w:vAlign w:val="center"/>
                </w:tcPr>
                <w:p w14:paraId="504830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废气</w:t>
                  </w:r>
                </w:p>
              </w:tc>
              <w:tc>
                <w:tcPr>
                  <w:tcW w:w="4498" w:type="dxa"/>
                  <w:tcBorders>
                    <w:tl2br w:val="nil"/>
                    <w:tr2bl w:val="nil"/>
                  </w:tcBorders>
                  <w:noWrap w:val="0"/>
                  <w:vAlign w:val="center"/>
                </w:tcPr>
                <w:p w14:paraId="062D9C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本项目</w:t>
                  </w:r>
                  <w:r>
                    <w:rPr>
                      <w:rFonts w:hint="eastAsia" w:ascii="Times New Roman" w:hAnsi="Times New Roman" w:eastAsia="宋体" w:cs="宋体"/>
                      <w:caps w:val="0"/>
                      <w:snapToGrid w:val="0"/>
                      <w:color w:val="auto"/>
                      <w:spacing w:val="0"/>
                      <w:sz w:val="21"/>
                      <w:szCs w:val="21"/>
                      <w:highlight w:val="none"/>
                      <w:lang w:val="en-US" w:eastAsia="zh-CN"/>
                    </w:rPr>
                    <w:t>石墨烘干车间的锅炉改造后依然依托现有工程的环保措施，采用布袋除尘器净化后通过20m高烟囱</w:t>
                  </w:r>
                  <w:r>
                    <w:rPr>
                      <w:rFonts w:hint="eastAsia" w:ascii="Times New Roman" w:hAnsi="Times New Roman" w:cs="宋体"/>
                      <w:caps w:val="0"/>
                      <w:snapToGrid w:val="0"/>
                      <w:color w:val="auto"/>
                      <w:spacing w:val="0"/>
                      <w:sz w:val="21"/>
                      <w:szCs w:val="21"/>
                      <w:highlight w:val="none"/>
                      <w:lang w:val="en-US" w:eastAsia="zh-CN"/>
                    </w:rPr>
                    <w:t>DA003</w:t>
                  </w:r>
                  <w:r>
                    <w:rPr>
                      <w:rFonts w:hint="eastAsia" w:ascii="Times New Roman" w:hAnsi="Times New Roman" w:eastAsia="宋体" w:cs="宋体"/>
                      <w:caps w:val="0"/>
                      <w:snapToGrid w:val="0"/>
                      <w:color w:val="auto"/>
                      <w:spacing w:val="0"/>
                      <w:sz w:val="21"/>
                      <w:szCs w:val="21"/>
                      <w:highlight w:val="none"/>
                      <w:lang w:val="en-US" w:eastAsia="zh-CN"/>
                    </w:rPr>
                    <w:t>排放。</w:t>
                  </w:r>
                </w:p>
              </w:tc>
              <w:tc>
                <w:tcPr>
                  <w:tcW w:w="689" w:type="dxa"/>
                  <w:tcBorders>
                    <w:tl2br w:val="nil"/>
                    <w:tr2bl w:val="nil"/>
                  </w:tcBorders>
                  <w:noWrap w:val="0"/>
                  <w:vAlign w:val="center"/>
                </w:tcPr>
                <w:p w14:paraId="731464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依托</w:t>
                  </w:r>
                </w:p>
              </w:tc>
            </w:tr>
          </w:tbl>
          <w:p w14:paraId="42F89B38">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3.主要生产设备</w:t>
            </w:r>
          </w:p>
          <w:p w14:paraId="09D2F702">
            <w:pP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本项目</w:t>
            </w:r>
            <w:r>
              <w:rPr>
                <w:rFonts w:hint="eastAsia" w:ascii="Times New Roman" w:hAnsi="Times New Roman" w:eastAsia="宋体" w:cs="宋体"/>
                <w:caps w:val="0"/>
                <w:spacing w:val="0"/>
                <w:sz w:val="24"/>
                <w:szCs w:val="24"/>
                <w:highlight w:val="none"/>
                <w:lang w:val="en-US" w:eastAsia="zh-CN"/>
              </w:rPr>
              <w:t>主要</w:t>
            </w:r>
            <w:r>
              <w:rPr>
                <w:rFonts w:hint="eastAsia" w:ascii="Times New Roman" w:hAnsi="Times New Roman" w:eastAsia="宋体" w:cs="宋体"/>
                <w:b w:val="0"/>
                <w:bCs w:val="0"/>
                <w:caps w:val="0"/>
                <w:spacing w:val="0"/>
                <w:sz w:val="24"/>
                <w:szCs w:val="24"/>
                <w:highlight w:val="none"/>
              </w:rPr>
              <w:t>设备</w:t>
            </w:r>
            <w:r>
              <w:rPr>
                <w:rFonts w:hint="eastAsia" w:ascii="Times New Roman" w:hAnsi="Times New Roman" w:eastAsia="宋体" w:cs="宋体"/>
                <w:caps w:val="0"/>
                <w:spacing w:val="0"/>
                <w:sz w:val="24"/>
                <w:szCs w:val="24"/>
                <w:highlight w:val="none"/>
              </w:rPr>
              <w:t>如下表</w:t>
            </w:r>
            <w:r>
              <w:rPr>
                <w:rFonts w:hint="default" w:ascii="Times New Roman" w:hAnsi="Times New Roman" w:eastAsia="宋体" w:cs="宋体"/>
                <w:caps w:val="0"/>
                <w:spacing w:val="0"/>
                <w:sz w:val="24"/>
                <w:szCs w:val="24"/>
                <w:highlight w:val="none"/>
                <w:lang w:val="en-US" w:eastAsia="zh-CN"/>
              </w:rPr>
              <w:t>2-2</w:t>
            </w:r>
            <w:r>
              <w:rPr>
                <w:rFonts w:hint="eastAsia" w:ascii="Times New Roman" w:hAnsi="Times New Roman" w:eastAsia="宋体" w:cs="宋体"/>
                <w:caps w:val="0"/>
                <w:spacing w:val="0"/>
                <w:sz w:val="24"/>
                <w:szCs w:val="24"/>
                <w:highlight w:val="none"/>
              </w:rPr>
              <w:t>所示：</w:t>
            </w:r>
          </w:p>
          <w:p w14:paraId="65A9C733">
            <w:pPr>
              <w:spacing w:line="240" w:lineRule="auto"/>
              <w:ind w:firstLine="422"/>
              <w:jc w:val="center"/>
              <w:rPr>
                <w:rFonts w:hint="eastAsia" w:ascii="Times New Roman" w:hAnsi="Times New Roman" w:eastAsia="宋体" w:cs="宋体"/>
                <w:b/>
                <w:bCs w:val="0"/>
                <w:caps w:val="0"/>
                <w:spacing w:val="0"/>
                <w:kern w:val="2"/>
                <w:sz w:val="21"/>
                <w:szCs w:val="21"/>
                <w:highlight w:val="none"/>
                <w:lang w:val="en-US" w:eastAsia="zh-CN" w:bidi="ar-SA"/>
              </w:rPr>
            </w:pPr>
            <w:r>
              <w:rPr>
                <w:rFonts w:hint="eastAsia" w:ascii="Times New Roman" w:hAnsi="Times New Roman" w:eastAsia="宋体" w:cs="宋体"/>
                <w:b/>
                <w:bCs w:val="0"/>
                <w:caps w:val="0"/>
                <w:spacing w:val="0"/>
                <w:kern w:val="2"/>
                <w:sz w:val="21"/>
                <w:szCs w:val="21"/>
                <w:highlight w:val="none"/>
                <w:lang w:val="en-US" w:eastAsia="zh-CN" w:bidi="ar-SA"/>
              </w:rPr>
              <w:t>表2-2 生产设备一览表</w:t>
            </w:r>
          </w:p>
          <w:tbl>
            <w:tblPr>
              <w:tblStyle w:val="36"/>
              <w:tblW w:w="498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7"/>
              <w:gridCol w:w="1106"/>
              <w:gridCol w:w="1402"/>
              <w:gridCol w:w="1376"/>
              <w:gridCol w:w="1467"/>
            </w:tblGrid>
            <w:tr w14:paraId="5A74EE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397" w:type="dxa"/>
                  <w:vMerge w:val="restart"/>
                  <w:tcBorders>
                    <w:tl2br w:val="nil"/>
                    <w:tr2bl w:val="nil"/>
                  </w:tcBorders>
                  <w:noWrap w:val="0"/>
                  <w:vAlign w:val="center"/>
                </w:tcPr>
                <w:p w14:paraId="5E8BA32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bCs/>
                      <w:caps w:val="0"/>
                      <w:color w:val="000000"/>
                      <w:spacing w:val="0"/>
                      <w:kern w:val="2"/>
                      <w:sz w:val="21"/>
                      <w:szCs w:val="21"/>
                      <w:highlight w:val="none"/>
                      <w:vertAlign w:val="baseline"/>
                      <w:lang w:val="en-US" w:eastAsia="zh-CN" w:bidi="ar-SA"/>
                    </w:rPr>
                  </w:pPr>
                  <w:r>
                    <w:rPr>
                      <w:rFonts w:hint="eastAsia" w:ascii="Times New Roman" w:hAnsi="Times New Roman" w:eastAsia="宋体" w:cs="宋体"/>
                      <w:caps w:val="0"/>
                      <w:color w:val="000000"/>
                      <w:spacing w:val="0"/>
                      <w:sz w:val="21"/>
                      <w:szCs w:val="21"/>
                      <w:highlight w:val="none"/>
                      <w:vertAlign w:val="baseline"/>
                      <w:lang w:val="en-US" w:eastAsia="zh-CN"/>
                    </w:rPr>
                    <w:t>设备名称</w:t>
                  </w:r>
                </w:p>
              </w:tc>
              <w:tc>
                <w:tcPr>
                  <w:tcW w:w="1106" w:type="dxa"/>
                  <w:vMerge w:val="restart"/>
                  <w:tcBorders>
                    <w:tl2br w:val="nil"/>
                    <w:tr2bl w:val="nil"/>
                  </w:tcBorders>
                  <w:noWrap w:val="0"/>
                  <w:vAlign w:val="center"/>
                </w:tcPr>
                <w:p w14:paraId="718BAC2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bCs/>
                      <w:caps w:val="0"/>
                      <w:color w:val="000000"/>
                      <w:spacing w:val="0"/>
                      <w:kern w:val="2"/>
                      <w:sz w:val="21"/>
                      <w:szCs w:val="21"/>
                      <w:highlight w:val="none"/>
                      <w:vertAlign w:val="baseline"/>
                      <w:lang w:val="en-US" w:eastAsia="zh-CN" w:bidi="ar-SA"/>
                    </w:rPr>
                  </w:pPr>
                  <w:r>
                    <w:rPr>
                      <w:rFonts w:hint="eastAsia" w:ascii="Times New Roman" w:hAnsi="Times New Roman" w:eastAsia="宋体" w:cs="宋体"/>
                      <w:caps w:val="0"/>
                      <w:color w:val="000000"/>
                      <w:spacing w:val="0"/>
                      <w:sz w:val="21"/>
                      <w:szCs w:val="21"/>
                      <w:highlight w:val="none"/>
                      <w:vertAlign w:val="baseline"/>
                      <w:lang w:val="en-US" w:eastAsia="zh-CN"/>
                    </w:rPr>
                    <w:t>型号</w:t>
                  </w:r>
                </w:p>
              </w:tc>
              <w:tc>
                <w:tcPr>
                  <w:tcW w:w="2778" w:type="dxa"/>
                  <w:gridSpan w:val="2"/>
                  <w:tcBorders>
                    <w:tl2br w:val="nil"/>
                    <w:tr2bl w:val="nil"/>
                  </w:tcBorders>
                  <w:noWrap w:val="0"/>
                  <w:vAlign w:val="center"/>
                </w:tcPr>
                <w:p w14:paraId="0F7844C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bCs/>
                      <w:caps w:val="0"/>
                      <w:color w:val="000000"/>
                      <w:spacing w:val="0"/>
                      <w:kern w:val="2"/>
                      <w:sz w:val="21"/>
                      <w:szCs w:val="21"/>
                      <w:highlight w:val="none"/>
                      <w:vertAlign w:val="baseline"/>
                      <w:lang w:val="en-US" w:eastAsia="zh-CN" w:bidi="ar-SA"/>
                    </w:rPr>
                  </w:pPr>
                  <w:r>
                    <w:rPr>
                      <w:rFonts w:hint="eastAsia" w:ascii="Times New Roman" w:hAnsi="Times New Roman" w:eastAsia="宋体" w:cs="宋体"/>
                      <w:caps w:val="0"/>
                      <w:color w:val="000000"/>
                      <w:spacing w:val="0"/>
                      <w:sz w:val="21"/>
                      <w:szCs w:val="21"/>
                      <w:highlight w:val="none"/>
                      <w:vertAlign w:val="baseline"/>
                      <w:lang w:val="en-US" w:eastAsia="zh-CN"/>
                    </w:rPr>
                    <w:t>数量（台）</w:t>
                  </w:r>
                </w:p>
              </w:tc>
              <w:tc>
                <w:tcPr>
                  <w:tcW w:w="1467" w:type="dxa"/>
                  <w:vMerge w:val="restart"/>
                  <w:tcBorders>
                    <w:tl2br w:val="nil"/>
                    <w:tr2bl w:val="nil"/>
                  </w:tcBorders>
                  <w:noWrap w:val="0"/>
                  <w:vAlign w:val="center"/>
                </w:tcPr>
                <w:p w14:paraId="5244B6C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bCs/>
                      <w:caps w:val="0"/>
                      <w:color w:val="000000"/>
                      <w:spacing w:val="0"/>
                      <w:kern w:val="2"/>
                      <w:sz w:val="21"/>
                      <w:szCs w:val="21"/>
                      <w:highlight w:val="none"/>
                      <w:vertAlign w:val="baseline"/>
                      <w:lang w:val="en-US" w:eastAsia="zh-CN" w:bidi="ar-SA"/>
                    </w:rPr>
                  </w:pPr>
                  <w:r>
                    <w:rPr>
                      <w:rFonts w:hint="eastAsia" w:ascii="Times New Roman" w:hAnsi="Times New Roman" w:eastAsia="宋体" w:cs="宋体"/>
                      <w:caps w:val="0"/>
                      <w:color w:val="000000"/>
                      <w:spacing w:val="0"/>
                      <w:sz w:val="21"/>
                      <w:szCs w:val="21"/>
                      <w:highlight w:val="none"/>
                      <w:vertAlign w:val="baseline"/>
                      <w:lang w:val="en-US" w:eastAsia="zh-CN"/>
                    </w:rPr>
                    <w:t>位置</w:t>
                  </w:r>
                </w:p>
              </w:tc>
            </w:tr>
            <w:tr w14:paraId="45B4C2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397" w:type="dxa"/>
                  <w:vMerge w:val="continue"/>
                  <w:tcBorders>
                    <w:tl2br w:val="nil"/>
                    <w:tr2bl w:val="nil"/>
                  </w:tcBorders>
                  <w:noWrap w:val="0"/>
                  <w:vAlign w:val="center"/>
                </w:tcPr>
                <w:p w14:paraId="4454866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ascii="Times New Roman" w:hAnsi="Times New Roman" w:eastAsia="宋体" w:cs="宋体"/>
                      <w:caps w:val="0"/>
                      <w:highlight w:val="none"/>
                    </w:rPr>
                  </w:pPr>
                </w:p>
              </w:tc>
              <w:tc>
                <w:tcPr>
                  <w:tcW w:w="1106" w:type="dxa"/>
                  <w:vMerge w:val="continue"/>
                  <w:tcBorders>
                    <w:tl2br w:val="nil"/>
                    <w:tr2bl w:val="nil"/>
                  </w:tcBorders>
                  <w:noWrap w:val="0"/>
                  <w:vAlign w:val="center"/>
                </w:tcPr>
                <w:p w14:paraId="2CDA9CC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ascii="Times New Roman" w:hAnsi="Times New Roman" w:eastAsia="宋体" w:cs="宋体"/>
                      <w:caps w:val="0"/>
                      <w:highlight w:val="none"/>
                    </w:rPr>
                  </w:pPr>
                </w:p>
              </w:tc>
              <w:tc>
                <w:tcPr>
                  <w:tcW w:w="1402" w:type="dxa"/>
                  <w:tcBorders>
                    <w:tl2br w:val="nil"/>
                    <w:tr2bl w:val="nil"/>
                  </w:tcBorders>
                  <w:noWrap w:val="0"/>
                  <w:vAlign w:val="center"/>
                </w:tcPr>
                <w:p w14:paraId="7916ABB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现有工程</w:t>
                  </w:r>
                  <w:r>
                    <w:rPr>
                      <w:rFonts w:hint="eastAsia" w:ascii="Times New Roman" w:hAnsi="Times New Roman" w:cs="宋体"/>
                      <w:caps w:val="0"/>
                      <w:color w:val="000000"/>
                      <w:spacing w:val="0"/>
                      <w:sz w:val="21"/>
                      <w:szCs w:val="21"/>
                      <w:highlight w:val="none"/>
                      <w:vertAlign w:val="baseline"/>
                      <w:lang w:val="en-US" w:eastAsia="zh-CN"/>
                    </w:rPr>
                    <w:t>主要生产设备</w:t>
                  </w:r>
                </w:p>
              </w:tc>
              <w:tc>
                <w:tcPr>
                  <w:tcW w:w="1376" w:type="dxa"/>
                  <w:tcBorders>
                    <w:tl2br w:val="nil"/>
                    <w:tr2bl w:val="nil"/>
                  </w:tcBorders>
                  <w:noWrap w:val="0"/>
                  <w:vAlign w:val="center"/>
                </w:tcPr>
                <w:p w14:paraId="4CD3464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cs="宋体"/>
                      <w:caps w:val="0"/>
                      <w:color w:val="000000"/>
                      <w:spacing w:val="0"/>
                      <w:sz w:val="21"/>
                      <w:szCs w:val="21"/>
                      <w:highlight w:val="none"/>
                      <w:vertAlign w:val="baseline"/>
                      <w:lang w:val="en-US" w:eastAsia="zh-CN"/>
                    </w:rPr>
                    <w:t>本次扩建新增设备</w:t>
                  </w:r>
                </w:p>
              </w:tc>
              <w:tc>
                <w:tcPr>
                  <w:tcW w:w="1467" w:type="dxa"/>
                  <w:vMerge w:val="continue"/>
                  <w:tcBorders>
                    <w:tl2br w:val="nil"/>
                    <w:tr2bl w:val="nil"/>
                  </w:tcBorders>
                  <w:noWrap w:val="0"/>
                  <w:vAlign w:val="center"/>
                </w:tcPr>
                <w:p w14:paraId="272CD25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vertAlign w:val="baseline"/>
                      <w:lang w:val="en-US" w:eastAsia="zh-CN"/>
                    </w:rPr>
                  </w:pPr>
                </w:p>
              </w:tc>
            </w:tr>
            <w:tr w14:paraId="0B59D3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dxa"/>
                  <w:tcBorders>
                    <w:tl2br w:val="nil"/>
                    <w:tr2bl w:val="nil"/>
                  </w:tcBorders>
                  <w:noWrap w:val="0"/>
                  <w:vAlign w:val="center"/>
                </w:tcPr>
                <w:p w14:paraId="2F9578A1">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auto"/>
                      <w:szCs w:val="21"/>
                      <w:highlight w:val="none"/>
                      <w:lang w:val="en-US" w:eastAsia="zh-CN"/>
                    </w:rPr>
                    <w:t>燃油</w:t>
                  </w:r>
                  <w:r>
                    <w:rPr>
                      <w:rFonts w:hint="default" w:ascii="Times New Roman" w:hAnsi="Times New Roman" w:eastAsia="宋体" w:cs="宋体"/>
                      <w:caps w:val="0"/>
                      <w:color w:val="auto"/>
                      <w:spacing w:val="0"/>
                      <w:sz w:val="21"/>
                      <w:szCs w:val="21"/>
                      <w:highlight w:val="none"/>
                      <w:lang w:val="en-US" w:eastAsia="zh-CN"/>
                    </w:rPr>
                    <w:t>导热油炉</w:t>
                  </w:r>
                </w:p>
              </w:tc>
              <w:tc>
                <w:tcPr>
                  <w:tcW w:w="1106" w:type="dxa"/>
                  <w:tcBorders>
                    <w:tl2br w:val="nil"/>
                    <w:tr2bl w:val="nil"/>
                  </w:tcBorders>
                  <w:noWrap w:val="0"/>
                  <w:vAlign w:val="center"/>
                </w:tcPr>
                <w:p w14:paraId="4DC0AE8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0.35MW</w:t>
                  </w:r>
                </w:p>
              </w:tc>
              <w:tc>
                <w:tcPr>
                  <w:tcW w:w="1402" w:type="dxa"/>
                  <w:tcBorders>
                    <w:tl2br w:val="nil"/>
                    <w:tr2bl w:val="nil"/>
                  </w:tcBorders>
                  <w:noWrap w:val="0"/>
                  <w:vAlign w:val="center"/>
                </w:tcPr>
                <w:p w14:paraId="186E775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w:t>
                  </w:r>
                </w:p>
              </w:tc>
              <w:tc>
                <w:tcPr>
                  <w:tcW w:w="1376" w:type="dxa"/>
                  <w:tcBorders>
                    <w:tl2br w:val="nil"/>
                    <w:tr2bl w:val="nil"/>
                  </w:tcBorders>
                  <w:noWrap w:val="0"/>
                  <w:vAlign w:val="center"/>
                </w:tcPr>
                <w:p w14:paraId="406E6E2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3（2用1备）</w:t>
                  </w:r>
                </w:p>
              </w:tc>
              <w:tc>
                <w:tcPr>
                  <w:tcW w:w="1467" w:type="dxa"/>
                  <w:vMerge w:val="restart"/>
                  <w:tcBorders>
                    <w:tl2br w:val="nil"/>
                    <w:tr2bl w:val="nil"/>
                  </w:tcBorders>
                  <w:noWrap w:val="0"/>
                  <w:vAlign w:val="center"/>
                </w:tcPr>
                <w:p w14:paraId="5565D2A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碳纳米管烘干车间与石墨烘干车间</w:t>
                  </w:r>
                </w:p>
              </w:tc>
            </w:tr>
            <w:tr w14:paraId="656615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dxa"/>
                  <w:tcBorders>
                    <w:tl2br w:val="nil"/>
                    <w:tr2bl w:val="nil"/>
                  </w:tcBorders>
                  <w:noWrap w:val="0"/>
                  <w:vAlign w:val="center"/>
                </w:tcPr>
                <w:p w14:paraId="1E6A94CE">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宋体"/>
                      <w:caps w:val="0"/>
                      <w:color w:val="FF0000"/>
                      <w:spacing w:val="0"/>
                      <w:sz w:val="21"/>
                      <w:szCs w:val="21"/>
                      <w:highlight w:val="none"/>
                      <w:lang w:val="en-US" w:eastAsia="zh-CN" w:bidi="zh-CN"/>
                    </w:rPr>
                  </w:pPr>
                  <w:r>
                    <w:rPr>
                      <w:rFonts w:hint="eastAsia" w:ascii="Times New Roman" w:hAnsi="Times New Roman" w:eastAsia="宋体" w:cs="宋体"/>
                      <w:caps w:val="0"/>
                      <w:color w:val="auto"/>
                      <w:kern w:val="0"/>
                      <w:sz w:val="21"/>
                      <w:szCs w:val="21"/>
                      <w:highlight w:val="none"/>
                      <w:lang w:val="en-US" w:eastAsia="zh-CN" w:bidi="ar-SA"/>
                    </w:rPr>
                    <w:t>低氮燃烧器</w:t>
                  </w:r>
                </w:p>
              </w:tc>
              <w:tc>
                <w:tcPr>
                  <w:tcW w:w="1106" w:type="dxa"/>
                  <w:tcBorders>
                    <w:tl2br w:val="nil"/>
                    <w:tr2bl w:val="nil"/>
                  </w:tcBorders>
                  <w:noWrap w:val="0"/>
                  <w:vAlign w:val="center"/>
                </w:tcPr>
                <w:p w14:paraId="2FE1ED8B">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snapToGrid w:val="0"/>
                      <w:spacing w:val="0"/>
                      <w:kern w:val="2"/>
                      <w:sz w:val="21"/>
                      <w:szCs w:val="21"/>
                      <w:highlight w:val="none"/>
                      <w:lang w:val="en-US" w:eastAsia="zh-CN" w:bidi="ar-SA"/>
                    </w:rPr>
                  </w:pPr>
                  <w:r>
                    <w:rPr>
                      <w:rFonts w:hint="default" w:ascii="Times New Roman" w:hAnsi="Times New Roman" w:eastAsia="宋体" w:cs="宋体"/>
                      <w:caps w:val="0"/>
                      <w:snapToGrid w:val="0"/>
                      <w:spacing w:val="0"/>
                      <w:kern w:val="2"/>
                      <w:sz w:val="21"/>
                      <w:szCs w:val="21"/>
                      <w:highlight w:val="none"/>
                      <w:lang w:val="en-US" w:eastAsia="zh-CN" w:bidi="ar-SA"/>
                    </w:rPr>
                    <w:t>/</w:t>
                  </w:r>
                </w:p>
              </w:tc>
              <w:tc>
                <w:tcPr>
                  <w:tcW w:w="1402" w:type="dxa"/>
                  <w:tcBorders>
                    <w:tl2br w:val="nil"/>
                    <w:tr2bl w:val="nil"/>
                  </w:tcBorders>
                  <w:noWrap w:val="0"/>
                  <w:vAlign w:val="center"/>
                </w:tcPr>
                <w:p w14:paraId="78169831">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w:t>
                  </w:r>
                </w:p>
              </w:tc>
              <w:tc>
                <w:tcPr>
                  <w:tcW w:w="1376" w:type="dxa"/>
                  <w:tcBorders>
                    <w:tl2br w:val="nil"/>
                    <w:tr2bl w:val="nil"/>
                  </w:tcBorders>
                  <w:noWrap w:val="0"/>
                  <w:vAlign w:val="center"/>
                </w:tcPr>
                <w:p w14:paraId="450A68E5">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3（2用1备）</w:t>
                  </w:r>
                </w:p>
              </w:tc>
              <w:tc>
                <w:tcPr>
                  <w:tcW w:w="1467" w:type="dxa"/>
                  <w:vMerge w:val="continue"/>
                  <w:tcBorders>
                    <w:tl2br w:val="nil"/>
                    <w:tr2bl w:val="nil"/>
                  </w:tcBorders>
                  <w:noWrap w:val="0"/>
                  <w:vAlign w:val="center"/>
                </w:tcPr>
                <w:p w14:paraId="35BA3FF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bCs/>
                      <w:caps w:val="0"/>
                      <w:color w:val="000000"/>
                      <w:spacing w:val="0"/>
                      <w:sz w:val="21"/>
                      <w:szCs w:val="21"/>
                      <w:highlight w:val="none"/>
                      <w:vertAlign w:val="baseline"/>
                      <w:lang w:val="en-US" w:eastAsia="zh-CN"/>
                    </w:rPr>
                  </w:pPr>
                </w:p>
              </w:tc>
            </w:tr>
            <w:tr w14:paraId="412A1D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dxa"/>
                  <w:tcBorders>
                    <w:tl2br w:val="nil"/>
                    <w:tr2bl w:val="nil"/>
                  </w:tcBorders>
                  <w:noWrap w:val="0"/>
                  <w:vAlign w:val="center"/>
                </w:tcPr>
                <w:p w14:paraId="030F0858">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宋体"/>
                      <w:caps w:val="0"/>
                      <w:color w:val="auto"/>
                      <w:kern w:val="0"/>
                      <w:sz w:val="21"/>
                      <w:szCs w:val="21"/>
                      <w:highlight w:val="none"/>
                      <w:lang w:val="en-US" w:eastAsia="zh-CN" w:bidi="ar-SA"/>
                    </w:rPr>
                  </w:pPr>
                  <w:r>
                    <w:rPr>
                      <w:rFonts w:hint="eastAsia" w:ascii="Times New Roman" w:hAnsi="Times New Roman" w:eastAsia="宋体" w:cs="宋体"/>
                      <w:caps w:val="0"/>
                      <w:color w:val="auto"/>
                      <w:kern w:val="0"/>
                      <w:sz w:val="21"/>
                      <w:szCs w:val="21"/>
                      <w:highlight w:val="none"/>
                      <w:lang w:val="en-US" w:eastAsia="zh-CN" w:bidi="ar-SA"/>
                    </w:rPr>
                    <w:t>滚筛机</w:t>
                  </w:r>
                </w:p>
              </w:tc>
              <w:tc>
                <w:tcPr>
                  <w:tcW w:w="1106" w:type="dxa"/>
                  <w:tcBorders>
                    <w:tl2br w:val="nil"/>
                    <w:tr2bl w:val="nil"/>
                  </w:tcBorders>
                  <w:noWrap w:val="0"/>
                  <w:vAlign w:val="center"/>
                </w:tcPr>
                <w:p w14:paraId="522B8319">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snapToGrid w:val="0"/>
                      <w:spacing w:val="0"/>
                      <w:kern w:val="2"/>
                      <w:sz w:val="21"/>
                      <w:szCs w:val="21"/>
                      <w:highlight w:val="none"/>
                      <w:lang w:val="en-US" w:eastAsia="zh-CN" w:bidi="ar-SA"/>
                    </w:rPr>
                  </w:pPr>
                  <w:r>
                    <w:rPr>
                      <w:rFonts w:hint="eastAsia" w:ascii="Times New Roman" w:hAnsi="Times New Roman" w:eastAsia="宋体" w:cs="宋体"/>
                      <w:caps w:val="0"/>
                      <w:snapToGrid w:val="0"/>
                      <w:spacing w:val="0"/>
                      <w:kern w:val="2"/>
                      <w:sz w:val="21"/>
                      <w:szCs w:val="21"/>
                      <w:highlight w:val="none"/>
                      <w:lang w:val="en-US" w:eastAsia="zh-CN" w:bidi="ar-SA"/>
                    </w:rPr>
                    <w:t>/</w:t>
                  </w:r>
                </w:p>
              </w:tc>
              <w:tc>
                <w:tcPr>
                  <w:tcW w:w="1402" w:type="dxa"/>
                  <w:tcBorders>
                    <w:tl2br w:val="nil"/>
                    <w:tr2bl w:val="nil"/>
                  </w:tcBorders>
                  <w:noWrap w:val="0"/>
                  <w:vAlign w:val="center"/>
                </w:tcPr>
                <w:p w14:paraId="0B94C29E">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1</w:t>
                  </w:r>
                </w:p>
              </w:tc>
              <w:tc>
                <w:tcPr>
                  <w:tcW w:w="1376" w:type="dxa"/>
                  <w:tcBorders>
                    <w:tl2br w:val="nil"/>
                    <w:tr2bl w:val="nil"/>
                  </w:tcBorders>
                  <w:noWrap w:val="0"/>
                  <w:vAlign w:val="center"/>
                </w:tcPr>
                <w:p w14:paraId="34AB8FBC">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w:t>
                  </w:r>
                </w:p>
              </w:tc>
              <w:tc>
                <w:tcPr>
                  <w:tcW w:w="1467" w:type="dxa"/>
                  <w:tcBorders>
                    <w:tl2br w:val="nil"/>
                    <w:tr2bl w:val="nil"/>
                  </w:tcBorders>
                  <w:noWrap w:val="0"/>
                  <w:vAlign w:val="center"/>
                </w:tcPr>
                <w:p w14:paraId="10029CC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bCs/>
                      <w:caps w:val="0"/>
                      <w:color w:val="000000"/>
                      <w:spacing w:val="0"/>
                      <w:sz w:val="21"/>
                      <w:szCs w:val="21"/>
                      <w:highlight w:val="none"/>
                      <w:vertAlign w:val="baseli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石墨烘干车间</w:t>
                  </w:r>
                </w:p>
              </w:tc>
            </w:tr>
            <w:tr w14:paraId="6FA181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dxa"/>
                  <w:tcBorders>
                    <w:tl2br w:val="nil"/>
                    <w:tr2bl w:val="nil"/>
                  </w:tcBorders>
                  <w:noWrap w:val="0"/>
                  <w:vAlign w:val="center"/>
                </w:tcPr>
                <w:p w14:paraId="45F06D50">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宋体"/>
                      <w:caps w:val="0"/>
                      <w:color w:val="auto"/>
                      <w:kern w:val="0"/>
                      <w:sz w:val="21"/>
                      <w:szCs w:val="21"/>
                      <w:highlight w:val="none"/>
                      <w:lang w:val="en-US" w:eastAsia="zh-CN" w:bidi="ar-SA"/>
                    </w:rPr>
                  </w:pPr>
                  <w:r>
                    <w:rPr>
                      <w:rFonts w:hint="eastAsia" w:ascii="Times New Roman" w:hAnsi="Times New Roman" w:eastAsia="宋体" w:cs="宋体"/>
                      <w:caps w:val="0"/>
                      <w:color w:val="auto"/>
                      <w:kern w:val="0"/>
                      <w:sz w:val="21"/>
                      <w:szCs w:val="21"/>
                      <w:highlight w:val="none"/>
                      <w:lang w:val="en-US" w:eastAsia="zh-CN" w:bidi="ar-SA"/>
                    </w:rPr>
                    <w:t>圆筛机</w:t>
                  </w:r>
                </w:p>
              </w:tc>
              <w:tc>
                <w:tcPr>
                  <w:tcW w:w="1106" w:type="dxa"/>
                  <w:tcBorders>
                    <w:tl2br w:val="nil"/>
                    <w:tr2bl w:val="nil"/>
                  </w:tcBorders>
                  <w:noWrap w:val="0"/>
                  <w:vAlign w:val="center"/>
                </w:tcPr>
                <w:p w14:paraId="3F8C1D0C">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snapToGrid w:val="0"/>
                      <w:spacing w:val="0"/>
                      <w:kern w:val="2"/>
                      <w:sz w:val="21"/>
                      <w:szCs w:val="21"/>
                      <w:highlight w:val="none"/>
                      <w:lang w:val="en-US" w:eastAsia="zh-CN" w:bidi="ar-SA"/>
                    </w:rPr>
                  </w:pPr>
                  <w:r>
                    <w:rPr>
                      <w:rFonts w:hint="eastAsia" w:ascii="Times New Roman" w:hAnsi="Times New Roman" w:eastAsia="宋体" w:cs="宋体"/>
                      <w:caps w:val="0"/>
                      <w:snapToGrid w:val="0"/>
                      <w:spacing w:val="0"/>
                      <w:kern w:val="2"/>
                      <w:sz w:val="21"/>
                      <w:szCs w:val="21"/>
                      <w:highlight w:val="none"/>
                      <w:lang w:val="en-US" w:eastAsia="zh-CN" w:bidi="ar-SA"/>
                    </w:rPr>
                    <w:t>/</w:t>
                  </w:r>
                </w:p>
              </w:tc>
              <w:tc>
                <w:tcPr>
                  <w:tcW w:w="1402" w:type="dxa"/>
                  <w:tcBorders>
                    <w:tl2br w:val="nil"/>
                    <w:tr2bl w:val="nil"/>
                  </w:tcBorders>
                  <w:noWrap w:val="0"/>
                  <w:vAlign w:val="center"/>
                </w:tcPr>
                <w:p w14:paraId="5CA37EBA">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1</w:t>
                  </w:r>
                </w:p>
              </w:tc>
              <w:tc>
                <w:tcPr>
                  <w:tcW w:w="1376" w:type="dxa"/>
                  <w:tcBorders>
                    <w:tl2br w:val="nil"/>
                    <w:tr2bl w:val="nil"/>
                  </w:tcBorders>
                  <w:noWrap w:val="0"/>
                  <w:vAlign w:val="center"/>
                </w:tcPr>
                <w:p w14:paraId="1B9951D2">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w:t>
                  </w:r>
                </w:p>
              </w:tc>
              <w:tc>
                <w:tcPr>
                  <w:tcW w:w="1467" w:type="dxa"/>
                  <w:tcBorders>
                    <w:tl2br w:val="nil"/>
                    <w:tr2bl w:val="nil"/>
                  </w:tcBorders>
                  <w:noWrap w:val="0"/>
                  <w:vAlign w:val="center"/>
                </w:tcPr>
                <w:p w14:paraId="5DE0521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bCs/>
                      <w:caps w:val="0"/>
                      <w:color w:val="000000"/>
                      <w:spacing w:val="0"/>
                      <w:sz w:val="21"/>
                      <w:szCs w:val="21"/>
                      <w:highlight w:val="none"/>
                      <w:vertAlign w:val="baseli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石墨烘干车间</w:t>
                  </w:r>
                </w:p>
              </w:tc>
            </w:tr>
            <w:tr w14:paraId="1A4DCE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dxa"/>
                  <w:tcBorders>
                    <w:tl2br w:val="nil"/>
                    <w:tr2bl w:val="nil"/>
                  </w:tcBorders>
                  <w:noWrap w:val="0"/>
                  <w:vAlign w:val="center"/>
                </w:tcPr>
                <w:p w14:paraId="09FE993A">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宋体"/>
                      <w:caps w:val="0"/>
                      <w:color w:val="auto"/>
                      <w:kern w:val="0"/>
                      <w:sz w:val="21"/>
                      <w:szCs w:val="21"/>
                      <w:highlight w:val="none"/>
                      <w:lang w:val="en-US" w:eastAsia="zh-CN" w:bidi="ar-SA"/>
                    </w:rPr>
                  </w:pPr>
                  <w:r>
                    <w:rPr>
                      <w:rFonts w:hint="eastAsia" w:ascii="Times New Roman" w:hAnsi="Times New Roman" w:eastAsia="宋体" w:cs="宋体"/>
                      <w:caps w:val="0"/>
                      <w:color w:val="auto"/>
                      <w:kern w:val="0"/>
                      <w:sz w:val="21"/>
                      <w:szCs w:val="21"/>
                      <w:highlight w:val="none"/>
                      <w:lang w:val="en-US" w:eastAsia="zh-CN" w:bidi="ar-SA"/>
                    </w:rPr>
                    <w:t>滚料机</w:t>
                  </w:r>
                </w:p>
              </w:tc>
              <w:tc>
                <w:tcPr>
                  <w:tcW w:w="1106" w:type="dxa"/>
                  <w:tcBorders>
                    <w:tl2br w:val="nil"/>
                    <w:tr2bl w:val="nil"/>
                  </w:tcBorders>
                  <w:noWrap w:val="0"/>
                  <w:vAlign w:val="center"/>
                </w:tcPr>
                <w:p w14:paraId="05AD0BC7">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snapToGrid w:val="0"/>
                      <w:spacing w:val="0"/>
                      <w:kern w:val="2"/>
                      <w:sz w:val="21"/>
                      <w:szCs w:val="21"/>
                      <w:highlight w:val="none"/>
                      <w:lang w:val="en-US" w:eastAsia="zh-CN" w:bidi="ar-SA"/>
                    </w:rPr>
                  </w:pPr>
                  <w:r>
                    <w:rPr>
                      <w:rFonts w:hint="eastAsia" w:ascii="Times New Roman" w:hAnsi="Times New Roman" w:eastAsia="宋体" w:cs="宋体"/>
                      <w:caps w:val="0"/>
                      <w:snapToGrid w:val="0"/>
                      <w:spacing w:val="0"/>
                      <w:kern w:val="2"/>
                      <w:sz w:val="21"/>
                      <w:szCs w:val="21"/>
                      <w:highlight w:val="none"/>
                      <w:lang w:val="en-US" w:eastAsia="zh-CN" w:bidi="ar-SA"/>
                    </w:rPr>
                    <w:t>/</w:t>
                  </w:r>
                </w:p>
              </w:tc>
              <w:tc>
                <w:tcPr>
                  <w:tcW w:w="1402" w:type="dxa"/>
                  <w:tcBorders>
                    <w:tl2br w:val="nil"/>
                    <w:tr2bl w:val="nil"/>
                  </w:tcBorders>
                  <w:noWrap w:val="0"/>
                  <w:vAlign w:val="center"/>
                </w:tcPr>
                <w:p w14:paraId="6AEC6157">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1</w:t>
                  </w:r>
                </w:p>
              </w:tc>
              <w:tc>
                <w:tcPr>
                  <w:tcW w:w="1376" w:type="dxa"/>
                  <w:tcBorders>
                    <w:tl2br w:val="nil"/>
                    <w:tr2bl w:val="nil"/>
                  </w:tcBorders>
                  <w:noWrap w:val="0"/>
                  <w:vAlign w:val="center"/>
                </w:tcPr>
                <w:p w14:paraId="5236DE3E">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w:t>
                  </w:r>
                </w:p>
              </w:tc>
              <w:tc>
                <w:tcPr>
                  <w:tcW w:w="1467" w:type="dxa"/>
                  <w:tcBorders>
                    <w:tl2br w:val="nil"/>
                    <w:tr2bl w:val="nil"/>
                  </w:tcBorders>
                  <w:noWrap w:val="0"/>
                  <w:vAlign w:val="center"/>
                </w:tcPr>
                <w:p w14:paraId="168A760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bCs/>
                      <w:caps w:val="0"/>
                      <w:color w:val="000000"/>
                      <w:spacing w:val="0"/>
                      <w:sz w:val="21"/>
                      <w:szCs w:val="21"/>
                      <w:highlight w:val="none"/>
                      <w:vertAlign w:val="baseli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碳纳米管烘干车间</w:t>
                  </w:r>
                </w:p>
              </w:tc>
            </w:tr>
            <w:tr w14:paraId="05546B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dxa"/>
                  <w:tcBorders>
                    <w:tl2br w:val="nil"/>
                    <w:tr2bl w:val="nil"/>
                  </w:tcBorders>
                  <w:noWrap w:val="0"/>
                  <w:vAlign w:val="center"/>
                </w:tcPr>
                <w:p w14:paraId="7652430B">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宋体"/>
                      <w:caps w:val="0"/>
                      <w:color w:val="auto"/>
                      <w:kern w:val="0"/>
                      <w:sz w:val="21"/>
                      <w:szCs w:val="21"/>
                      <w:highlight w:val="none"/>
                      <w:lang w:val="en-US" w:eastAsia="zh-CN" w:bidi="ar-SA"/>
                    </w:rPr>
                  </w:pPr>
                  <w:r>
                    <w:rPr>
                      <w:rFonts w:hint="eastAsia" w:ascii="Times New Roman" w:hAnsi="Times New Roman" w:eastAsia="宋体" w:cs="宋体"/>
                      <w:caps w:val="0"/>
                      <w:color w:val="auto"/>
                      <w:kern w:val="0"/>
                      <w:sz w:val="21"/>
                      <w:szCs w:val="21"/>
                      <w:highlight w:val="none"/>
                      <w:lang w:val="en-US" w:eastAsia="zh-CN" w:bidi="ar-SA"/>
                    </w:rPr>
                    <w:t>布袋除尘器</w:t>
                  </w:r>
                </w:p>
              </w:tc>
              <w:tc>
                <w:tcPr>
                  <w:tcW w:w="1106" w:type="dxa"/>
                  <w:tcBorders>
                    <w:tl2br w:val="nil"/>
                    <w:tr2bl w:val="nil"/>
                  </w:tcBorders>
                  <w:noWrap w:val="0"/>
                  <w:vAlign w:val="center"/>
                </w:tcPr>
                <w:p w14:paraId="1E011BD7">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snapToGrid w:val="0"/>
                      <w:spacing w:val="0"/>
                      <w:kern w:val="2"/>
                      <w:sz w:val="21"/>
                      <w:szCs w:val="21"/>
                      <w:highlight w:val="none"/>
                      <w:lang w:val="en-US" w:eastAsia="zh-CN" w:bidi="ar-SA"/>
                    </w:rPr>
                  </w:pPr>
                  <w:r>
                    <w:rPr>
                      <w:rFonts w:hint="eastAsia" w:ascii="Times New Roman" w:hAnsi="Times New Roman" w:eastAsia="宋体" w:cs="宋体"/>
                      <w:caps w:val="0"/>
                      <w:snapToGrid w:val="0"/>
                      <w:spacing w:val="0"/>
                      <w:kern w:val="2"/>
                      <w:sz w:val="21"/>
                      <w:szCs w:val="21"/>
                      <w:highlight w:val="none"/>
                      <w:lang w:val="en-US" w:eastAsia="zh-CN" w:bidi="ar-SA"/>
                    </w:rPr>
                    <w:t>/</w:t>
                  </w:r>
                </w:p>
              </w:tc>
              <w:tc>
                <w:tcPr>
                  <w:tcW w:w="1402" w:type="dxa"/>
                  <w:tcBorders>
                    <w:tl2br w:val="nil"/>
                    <w:tr2bl w:val="nil"/>
                  </w:tcBorders>
                  <w:noWrap w:val="0"/>
                  <w:vAlign w:val="center"/>
                </w:tcPr>
                <w:p w14:paraId="03DD9488">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2</w:t>
                  </w:r>
                </w:p>
              </w:tc>
              <w:tc>
                <w:tcPr>
                  <w:tcW w:w="1376" w:type="dxa"/>
                  <w:tcBorders>
                    <w:tl2br w:val="nil"/>
                    <w:tr2bl w:val="nil"/>
                  </w:tcBorders>
                  <w:noWrap w:val="0"/>
                  <w:vAlign w:val="center"/>
                </w:tcPr>
                <w:p w14:paraId="7E2E2B5E">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1</w:t>
                  </w:r>
                </w:p>
              </w:tc>
              <w:tc>
                <w:tcPr>
                  <w:tcW w:w="1467" w:type="dxa"/>
                  <w:vMerge w:val="restart"/>
                  <w:tcBorders>
                    <w:tl2br w:val="nil"/>
                    <w:tr2bl w:val="nil"/>
                  </w:tcBorders>
                  <w:noWrap w:val="0"/>
                  <w:vAlign w:val="center"/>
                </w:tcPr>
                <w:p w14:paraId="44E272B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bCs/>
                      <w:caps w:val="0"/>
                      <w:color w:val="000000"/>
                      <w:spacing w:val="0"/>
                      <w:sz w:val="21"/>
                      <w:szCs w:val="21"/>
                      <w:highlight w:val="none"/>
                      <w:vertAlign w:val="baseli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碳纳米管烘干车间与石墨烘干车间</w:t>
                  </w:r>
                </w:p>
              </w:tc>
            </w:tr>
            <w:tr w14:paraId="721D80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dxa"/>
                  <w:tcBorders>
                    <w:tl2br w:val="nil"/>
                    <w:tr2bl w:val="nil"/>
                  </w:tcBorders>
                  <w:noWrap w:val="0"/>
                  <w:vAlign w:val="center"/>
                </w:tcPr>
                <w:p w14:paraId="1824C35D">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宋体"/>
                      <w:caps w:val="0"/>
                      <w:color w:val="auto"/>
                      <w:kern w:val="0"/>
                      <w:sz w:val="21"/>
                      <w:szCs w:val="21"/>
                      <w:highlight w:val="none"/>
                      <w:lang w:val="en-US" w:eastAsia="zh-CN" w:bidi="ar-SA"/>
                    </w:rPr>
                  </w:pPr>
                  <w:r>
                    <w:rPr>
                      <w:rFonts w:hint="eastAsia" w:ascii="Times New Roman" w:hAnsi="Times New Roman" w:eastAsia="宋体" w:cs="宋体"/>
                      <w:caps w:val="0"/>
                      <w:color w:val="auto"/>
                      <w:kern w:val="0"/>
                      <w:sz w:val="21"/>
                      <w:szCs w:val="21"/>
                      <w:highlight w:val="none"/>
                      <w:lang w:val="en-US" w:eastAsia="zh-CN" w:bidi="ar-SA"/>
                    </w:rPr>
                    <w:t>风机</w:t>
                  </w:r>
                </w:p>
              </w:tc>
              <w:tc>
                <w:tcPr>
                  <w:tcW w:w="1106" w:type="dxa"/>
                  <w:tcBorders>
                    <w:tl2br w:val="nil"/>
                    <w:tr2bl w:val="nil"/>
                  </w:tcBorders>
                  <w:noWrap w:val="0"/>
                  <w:vAlign w:val="center"/>
                </w:tcPr>
                <w:p w14:paraId="40725C0A">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snapToGrid w:val="0"/>
                      <w:spacing w:val="0"/>
                      <w:kern w:val="2"/>
                      <w:sz w:val="21"/>
                      <w:szCs w:val="21"/>
                      <w:highlight w:val="none"/>
                      <w:lang w:val="en-US" w:eastAsia="zh-CN" w:bidi="ar-SA"/>
                    </w:rPr>
                  </w:pPr>
                  <w:r>
                    <w:rPr>
                      <w:rFonts w:hint="eastAsia" w:ascii="Times New Roman" w:hAnsi="Times New Roman" w:eastAsia="宋体" w:cs="宋体"/>
                      <w:caps w:val="0"/>
                      <w:snapToGrid w:val="0"/>
                      <w:spacing w:val="0"/>
                      <w:kern w:val="2"/>
                      <w:sz w:val="21"/>
                      <w:szCs w:val="21"/>
                      <w:highlight w:val="none"/>
                      <w:lang w:val="en-US" w:eastAsia="zh-CN" w:bidi="ar-SA"/>
                    </w:rPr>
                    <w:t>/</w:t>
                  </w:r>
                </w:p>
              </w:tc>
              <w:tc>
                <w:tcPr>
                  <w:tcW w:w="1402" w:type="dxa"/>
                  <w:tcBorders>
                    <w:tl2br w:val="nil"/>
                    <w:tr2bl w:val="nil"/>
                  </w:tcBorders>
                  <w:noWrap w:val="0"/>
                  <w:vAlign w:val="center"/>
                </w:tcPr>
                <w:p w14:paraId="7DE1D0BB">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2</w:t>
                  </w:r>
                </w:p>
              </w:tc>
              <w:tc>
                <w:tcPr>
                  <w:tcW w:w="1376" w:type="dxa"/>
                  <w:tcBorders>
                    <w:tl2br w:val="nil"/>
                    <w:tr2bl w:val="nil"/>
                  </w:tcBorders>
                  <w:noWrap w:val="0"/>
                  <w:vAlign w:val="center"/>
                </w:tcPr>
                <w:p w14:paraId="2BD68C56">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宋体"/>
                      <w:caps w:val="0"/>
                      <w:color w:val="000000"/>
                      <w:spacing w:val="0"/>
                      <w:sz w:val="21"/>
                      <w:szCs w:val="21"/>
                      <w:highlight w:val="none"/>
                      <w:vertAlign w:val="baseli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1</w:t>
                  </w:r>
                </w:p>
              </w:tc>
              <w:tc>
                <w:tcPr>
                  <w:tcW w:w="1467" w:type="dxa"/>
                  <w:vMerge w:val="continue"/>
                  <w:tcBorders>
                    <w:tl2br w:val="nil"/>
                    <w:tr2bl w:val="nil"/>
                  </w:tcBorders>
                  <w:noWrap w:val="0"/>
                  <w:vAlign w:val="center"/>
                </w:tcPr>
                <w:p w14:paraId="266461F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Times New Roman" w:hAnsi="Times New Roman" w:eastAsia="宋体" w:cs="宋体"/>
                      <w:bCs/>
                      <w:caps w:val="0"/>
                      <w:color w:val="000000"/>
                      <w:spacing w:val="0"/>
                      <w:sz w:val="21"/>
                      <w:szCs w:val="21"/>
                      <w:highlight w:val="none"/>
                      <w:vertAlign w:val="baseline"/>
                      <w:lang w:val="en-US" w:eastAsia="zh-CN"/>
                    </w:rPr>
                  </w:pPr>
                </w:p>
              </w:tc>
            </w:tr>
          </w:tbl>
          <w:p w14:paraId="503E6716">
            <w:pPr>
              <w:spacing w:line="240" w:lineRule="auto"/>
              <w:ind w:left="0" w:leftChars="0" w:firstLine="0" w:firstLineChars="0"/>
              <w:rPr>
                <w:rFonts w:hint="default" w:ascii="Times New Roman" w:hAnsi="Times New Roman" w:eastAsia="宋体" w:cs="宋体"/>
                <w:b/>
                <w:bCs w:val="0"/>
                <w:caps w:val="0"/>
                <w:spacing w:val="0"/>
                <w:sz w:val="21"/>
                <w:szCs w:val="21"/>
                <w:highlight w:val="none"/>
                <w:lang w:val="en-US" w:eastAsia="zh-CN"/>
              </w:rPr>
            </w:pPr>
            <w:r>
              <w:rPr>
                <w:rFonts w:hint="eastAsia" w:ascii="Times New Roman" w:hAnsi="Times New Roman" w:cs="宋体"/>
                <w:b/>
                <w:bCs w:val="0"/>
                <w:caps w:val="0"/>
                <w:spacing w:val="0"/>
                <w:sz w:val="21"/>
                <w:szCs w:val="21"/>
                <w:highlight w:val="none"/>
                <w:lang w:val="en-US" w:eastAsia="zh-CN"/>
              </w:rPr>
              <w:t>注:新增2台</w:t>
            </w:r>
            <w:r>
              <w:rPr>
                <w:rFonts w:hint="eastAsia" w:ascii="Times New Roman" w:hAnsi="Times New Roman" w:cs="宋体"/>
                <w:b/>
                <w:bCs w:val="0"/>
                <w:caps w:val="0"/>
                <w:spacing w:val="0"/>
                <w:sz w:val="21"/>
                <w:szCs w:val="21"/>
                <w:highlight w:val="none"/>
                <w:lang w:val="en-US" w:eastAsia="zh-CN"/>
              </w:rPr>
              <w:t>导热油炉</w:t>
            </w:r>
            <w:r>
              <w:rPr>
                <w:rFonts w:hint="eastAsia" w:ascii="Times New Roman" w:hAnsi="Times New Roman" w:cs="宋体"/>
                <w:b/>
                <w:bCs w:val="0"/>
                <w:caps w:val="0"/>
                <w:spacing w:val="0"/>
                <w:sz w:val="21"/>
                <w:szCs w:val="21"/>
                <w:highlight w:val="none"/>
                <w:lang w:val="en-US" w:eastAsia="zh-CN"/>
              </w:rPr>
              <w:t>采用一用一备模式，不同时运行，环保设备采用共用模式，因此本项目只新增一台环保措施</w:t>
            </w:r>
          </w:p>
          <w:p w14:paraId="77E15334">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4.本项目主要原辅材料消耗如下表2-3</w:t>
            </w:r>
          </w:p>
          <w:p w14:paraId="4A9660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val="0"/>
                <w:bCs w:val="0"/>
                <w:caps w:val="0"/>
                <w:spacing w:val="0"/>
                <w:sz w:val="24"/>
                <w:szCs w:val="24"/>
                <w:highlight w:val="none"/>
              </w:rPr>
            </w:pPr>
            <w:r>
              <w:rPr>
                <w:rFonts w:hint="eastAsia" w:ascii="Times New Roman" w:hAnsi="Times New Roman" w:eastAsia="宋体" w:cs="宋体"/>
                <w:b/>
                <w:bCs w:val="0"/>
                <w:caps w:val="0"/>
                <w:spacing w:val="0"/>
                <w:kern w:val="2"/>
                <w:sz w:val="21"/>
                <w:szCs w:val="21"/>
                <w:highlight w:val="none"/>
                <w:lang w:val="en-US" w:eastAsia="zh-CN" w:bidi="ar-SA"/>
              </w:rPr>
              <w:t>表2-3 原辅材料消耗一览表</w:t>
            </w:r>
          </w:p>
          <w:tbl>
            <w:tblPr>
              <w:tblStyle w:val="35"/>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0"/>
              <w:gridCol w:w="1885"/>
              <w:gridCol w:w="926"/>
              <w:gridCol w:w="1126"/>
              <w:gridCol w:w="1166"/>
              <w:gridCol w:w="1062"/>
              <w:gridCol w:w="812"/>
            </w:tblGrid>
            <w:tr w14:paraId="6B1890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08" w:type="pct"/>
                  <w:tcBorders>
                    <w:tl2br w:val="nil"/>
                    <w:tr2bl w:val="nil"/>
                  </w:tcBorders>
                  <w:noWrap w:val="0"/>
                  <w:vAlign w:val="center"/>
                </w:tcPr>
                <w:p w14:paraId="0BD5D47B">
                  <w:pPr>
                    <w:pStyle w:val="93"/>
                    <w:numPr>
                      <w:ilvl w:val="0"/>
                      <w:numId w:val="0"/>
                    </w:numPr>
                    <w:spacing w:line="240" w:lineRule="auto"/>
                    <w:jc w:val="center"/>
                    <w:rPr>
                      <w:rFonts w:hint="eastAsia" w:ascii="Times New Roman" w:hAnsi="Times New Roman" w:eastAsia="宋体" w:cs="宋体"/>
                      <w:caps w:val="0"/>
                      <w:color w:val="auto"/>
                      <w:spacing w:val="0"/>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vertAlign w:val="baseline"/>
                      <w:lang w:val="en-US" w:eastAsia="zh-CN"/>
                    </w:rPr>
                    <w:t>序号</w:t>
                  </w:r>
                </w:p>
              </w:tc>
              <w:tc>
                <w:tcPr>
                  <w:tcW w:w="1213" w:type="pct"/>
                  <w:tcBorders>
                    <w:tl2br w:val="nil"/>
                    <w:tr2bl w:val="nil"/>
                  </w:tcBorders>
                  <w:noWrap w:val="0"/>
                  <w:vAlign w:val="center"/>
                </w:tcPr>
                <w:p w14:paraId="7380C0F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名称</w:t>
                  </w:r>
                </w:p>
              </w:tc>
              <w:tc>
                <w:tcPr>
                  <w:tcW w:w="596" w:type="pct"/>
                  <w:tcBorders>
                    <w:tl2br w:val="nil"/>
                    <w:tr2bl w:val="nil"/>
                  </w:tcBorders>
                  <w:noWrap w:val="0"/>
                  <w:vAlign w:val="center"/>
                </w:tcPr>
                <w:p w14:paraId="116AD8C6">
                  <w:pPr>
                    <w:pStyle w:val="93"/>
                    <w:keepNext w:val="0"/>
                    <w:keepLines w:val="0"/>
                    <w:pageBreakBefore w:val="0"/>
                    <w:numPr>
                      <w:ilvl w:val="0"/>
                      <w:numId w:val="0"/>
                    </w:numPr>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性状</w:t>
                  </w:r>
                </w:p>
              </w:tc>
              <w:tc>
                <w:tcPr>
                  <w:tcW w:w="724" w:type="pct"/>
                  <w:tcBorders>
                    <w:tl2br w:val="nil"/>
                    <w:tr2bl w:val="nil"/>
                  </w:tcBorders>
                  <w:noWrap w:val="0"/>
                  <w:vAlign w:val="center"/>
                </w:tcPr>
                <w:p w14:paraId="07A9E0CA">
                  <w:pPr>
                    <w:pStyle w:val="93"/>
                    <w:keepNext w:val="0"/>
                    <w:keepLines w:val="0"/>
                    <w:pageBreakBefore w:val="0"/>
                    <w:numPr>
                      <w:ilvl w:val="0"/>
                      <w:numId w:val="0"/>
                    </w:numPr>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现有工程消耗量</w:t>
                  </w:r>
                </w:p>
              </w:tc>
              <w:tc>
                <w:tcPr>
                  <w:tcW w:w="750" w:type="pct"/>
                  <w:tcBorders>
                    <w:tl2br w:val="nil"/>
                    <w:tr2bl w:val="nil"/>
                  </w:tcBorders>
                  <w:noWrap w:val="0"/>
                  <w:vAlign w:val="center"/>
                </w:tcPr>
                <w:p w14:paraId="2D66909E">
                  <w:pPr>
                    <w:pStyle w:val="93"/>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本工程消耗量</w:t>
                  </w:r>
                </w:p>
              </w:tc>
              <w:tc>
                <w:tcPr>
                  <w:tcW w:w="683" w:type="pct"/>
                  <w:tcBorders>
                    <w:tl2br w:val="nil"/>
                    <w:tr2bl w:val="nil"/>
                  </w:tcBorders>
                  <w:noWrap w:val="0"/>
                  <w:vAlign w:val="center"/>
                </w:tcPr>
                <w:p w14:paraId="1466198D">
                  <w:pPr>
                    <w:pStyle w:val="93"/>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全厂消耗量</w:t>
                  </w:r>
                </w:p>
              </w:tc>
              <w:tc>
                <w:tcPr>
                  <w:tcW w:w="522" w:type="pct"/>
                  <w:tcBorders>
                    <w:tl2br w:val="nil"/>
                    <w:tr2bl w:val="nil"/>
                  </w:tcBorders>
                  <w:noWrap w:val="0"/>
                  <w:vAlign w:val="center"/>
                </w:tcPr>
                <w:p w14:paraId="46546C27">
                  <w:pPr>
                    <w:pStyle w:val="93"/>
                    <w:numPr>
                      <w:ilvl w:val="0"/>
                      <w:numId w:val="0"/>
                    </w:numPr>
                    <w:spacing w:line="240" w:lineRule="auto"/>
                    <w:ind w:left="0" w:leftChars="0" w:firstLine="0" w:firstLineChars="0"/>
                    <w:jc w:val="center"/>
                    <w:rPr>
                      <w:rFonts w:hint="eastAsia" w:ascii="Times New Roman" w:hAnsi="Times New Roman" w:eastAsia="宋体" w:cs="宋体"/>
                      <w:caps w:val="0"/>
                      <w:color w:val="auto"/>
                      <w:spacing w:val="0"/>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vertAlign w:val="baseline"/>
                      <w:lang w:val="en-US" w:eastAsia="zh-CN"/>
                    </w:rPr>
                    <w:t>来源</w:t>
                  </w:r>
                </w:p>
              </w:tc>
            </w:tr>
            <w:tr w14:paraId="013FF3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tcBorders>
                    <w:tl2br w:val="nil"/>
                    <w:tr2bl w:val="nil"/>
                  </w:tcBorders>
                  <w:noWrap w:val="0"/>
                  <w:vAlign w:val="center"/>
                </w:tcPr>
                <w:p w14:paraId="034CE5C5">
                  <w:pPr>
                    <w:pStyle w:val="93"/>
                    <w:numPr>
                      <w:ilvl w:val="0"/>
                      <w:numId w:val="0"/>
                    </w:numPr>
                    <w:spacing w:line="240" w:lineRule="auto"/>
                    <w:jc w:val="center"/>
                    <w:rPr>
                      <w:rFonts w:hint="default" w:ascii="Times New Roman" w:hAnsi="Times New Roman" w:eastAsia="宋体" w:cs="宋体"/>
                      <w:caps w:val="0"/>
                      <w:color w:val="auto"/>
                      <w:spacing w:val="0"/>
                      <w:sz w:val="21"/>
                      <w:szCs w:val="21"/>
                      <w:highlight w:val="none"/>
                      <w:vertAlign w:val="baseline"/>
                      <w:lang w:val="en-US" w:eastAsia="zh-CN"/>
                    </w:rPr>
                  </w:pPr>
                  <w:r>
                    <w:rPr>
                      <w:rFonts w:hint="default" w:ascii="Times New Roman" w:hAnsi="Times New Roman" w:eastAsia="宋体" w:cs="宋体"/>
                      <w:caps w:val="0"/>
                      <w:color w:val="auto"/>
                      <w:spacing w:val="0"/>
                      <w:sz w:val="21"/>
                      <w:szCs w:val="21"/>
                      <w:highlight w:val="none"/>
                      <w:vertAlign w:val="baseline"/>
                      <w:lang w:val="en-US" w:eastAsia="zh-CN"/>
                    </w:rPr>
                    <w:t>1</w:t>
                  </w:r>
                </w:p>
              </w:tc>
              <w:tc>
                <w:tcPr>
                  <w:tcW w:w="1213" w:type="pct"/>
                  <w:tcBorders>
                    <w:tl2br w:val="nil"/>
                    <w:tr2bl w:val="nil"/>
                  </w:tcBorders>
                  <w:noWrap w:val="0"/>
                  <w:vAlign w:val="center"/>
                </w:tcPr>
                <w:p w14:paraId="0527C4D6">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轻质柴油</w:t>
                  </w:r>
                </w:p>
              </w:tc>
              <w:tc>
                <w:tcPr>
                  <w:tcW w:w="596" w:type="pct"/>
                  <w:tcBorders>
                    <w:tl2br w:val="nil"/>
                    <w:tr2bl w:val="nil"/>
                  </w:tcBorders>
                  <w:noWrap w:val="0"/>
                  <w:vAlign w:val="center"/>
                </w:tcPr>
                <w:p w14:paraId="7FE1D6DE">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液态</w:t>
                  </w:r>
                </w:p>
              </w:tc>
              <w:tc>
                <w:tcPr>
                  <w:tcW w:w="724" w:type="pct"/>
                  <w:tcBorders>
                    <w:tl2br w:val="nil"/>
                    <w:tr2bl w:val="nil"/>
                  </w:tcBorders>
                  <w:noWrap w:val="0"/>
                  <w:vAlign w:val="center"/>
                </w:tcPr>
                <w:p w14:paraId="0C4828CF">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0</w:t>
                  </w:r>
                </w:p>
              </w:tc>
              <w:tc>
                <w:tcPr>
                  <w:tcW w:w="750" w:type="pct"/>
                  <w:tcBorders>
                    <w:tl2br w:val="nil"/>
                    <w:tr2bl w:val="nil"/>
                  </w:tcBorders>
                  <w:noWrap w:val="0"/>
                  <w:vAlign w:val="center"/>
                </w:tcPr>
                <w:p w14:paraId="7590D069">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416.34t/a</w:t>
                  </w:r>
                </w:p>
              </w:tc>
              <w:tc>
                <w:tcPr>
                  <w:tcW w:w="683" w:type="pct"/>
                  <w:tcBorders>
                    <w:tl2br w:val="nil"/>
                    <w:tr2bl w:val="nil"/>
                  </w:tcBorders>
                  <w:noWrap w:val="0"/>
                  <w:vAlign w:val="center"/>
                </w:tcPr>
                <w:p w14:paraId="15325F7C">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416.34t/a</w:t>
                  </w:r>
                </w:p>
              </w:tc>
              <w:tc>
                <w:tcPr>
                  <w:tcW w:w="522" w:type="pct"/>
                  <w:tcBorders>
                    <w:tl2br w:val="nil"/>
                    <w:tr2bl w:val="nil"/>
                  </w:tcBorders>
                  <w:noWrap w:val="0"/>
                  <w:vAlign w:val="center"/>
                </w:tcPr>
                <w:p w14:paraId="75E43091">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外购</w:t>
                  </w:r>
                </w:p>
              </w:tc>
            </w:tr>
            <w:tr w14:paraId="745694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tcBorders>
                    <w:tl2br w:val="nil"/>
                    <w:tr2bl w:val="nil"/>
                  </w:tcBorders>
                  <w:noWrap w:val="0"/>
                  <w:vAlign w:val="center"/>
                </w:tcPr>
                <w:p w14:paraId="2E804347">
                  <w:pPr>
                    <w:pStyle w:val="93"/>
                    <w:numPr>
                      <w:ilvl w:val="0"/>
                      <w:numId w:val="0"/>
                    </w:numPr>
                    <w:spacing w:line="240" w:lineRule="auto"/>
                    <w:jc w:val="center"/>
                    <w:rPr>
                      <w:rFonts w:hint="default" w:ascii="Times New Roman" w:hAnsi="Times New Roman" w:eastAsia="宋体" w:cs="宋体"/>
                      <w:caps w:val="0"/>
                      <w:color w:val="auto"/>
                      <w:spacing w:val="0"/>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vertAlign w:val="baseline"/>
                      <w:lang w:val="en-US" w:eastAsia="zh-CN"/>
                    </w:rPr>
                    <w:t>2</w:t>
                  </w:r>
                </w:p>
              </w:tc>
              <w:tc>
                <w:tcPr>
                  <w:tcW w:w="1213" w:type="pct"/>
                  <w:tcBorders>
                    <w:tl2br w:val="nil"/>
                    <w:tr2bl w:val="nil"/>
                  </w:tcBorders>
                  <w:noWrap w:val="0"/>
                  <w:vAlign w:val="center"/>
                </w:tcPr>
                <w:p w14:paraId="524487F5">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导热油</w:t>
                  </w:r>
                </w:p>
              </w:tc>
              <w:tc>
                <w:tcPr>
                  <w:tcW w:w="596" w:type="pct"/>
                  <w:tcBorders>
                    <w:tl2br w:val="nil"/>
                    <w:tr2bl w:val="nil"/>
                  </w:tcBorders>
                  <w:noWrap w:val="0"/>
                  <w:vAlign w:val="center"/>
                </w:tcPr>
                <w:p w14:paraId="448BF175">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液态</w:t>
                  </w:r>
                </w:p>
              </w:tc>
              <w:tc>
                <w:tcPr>
                  <w:tcW w:w="724" w:type="pct"/>
                  <w:tcBorders>
                    <w:tl2br w:val="nil"/>
                    <w:tr2bl w:val="nil"/>
                  </w:tcBorders>
                  <w:noWrap w:val="0"/>
                  <w:vAlign w:val="center"/>
                </w:tcPr>
                <w:p w14:paraId="3F06F3AC">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1.6t/5a</w:t>
                  </w:r>
                </w:p>
              </w:tc>
              <w:tc>
                <w:tcPr>
                  <w:tcW w:w="750" w:type="pct"/>
                  <w:tcBorders>
                    <w:tl2br w:val="nil"/>
                    <w:tr2bl w:val="nil"/>
                  </w:tcBorders>
                  <w:noWrap w:val="0"/>
                  <w:vAlign w:val="center"/>
                </w:tcPr>
                <w:p w14:paraId="06692AB4">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5t/5a</w:t>
                  </w:r>
                </w:p>
              </w:tc>
              <w:tc>
                <w:tcPr>
                  <w:tcW w:w="683" w:type="pct"/>
                  <w:tcBorders>
                    <w:tl2br w:val="nil"/>
                    <w:tr2bl w:val="nil"/>
                  </w:tcBorders>
                  <w:noWrap w:val="0"/>
                  <w:vAlign w:val="center"/>
                </w:tcPr>
                <w:p w14:paraId="09413FB5">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5t/5a</w:t>
                  </w:r>
                </w:p>
              </w:tc>
              <w:tc>
                <w:tcPr>
                  <w:tcW w:w="522" w:type="pct"/>
                  <w:tcBorders>
                    <w:tl2br w:val="nil"/>
                    <w:tr2bl w:val="nil"/>
                  </w:tcBorders>
                  <w:noWrap w:val="0"/>
                  <w:vAlign w:val="center"/>
                </w:tcPr>
                <w:p w14:paraId="76ED3974">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外购</w:t>
                  </w:r>
                </w:p>
              </w:tc>
            </w:tr>
            <w:tr w14:paraId="263CF0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tcBorders>
                    <w:tl2br w:val="nil"/>
                    <w:tr2bl w:val="nil"/>
                  </w:tcBorders>
                  <w:noWrap w:val="0"/>
                  <w:vAlign w:val="center"/>
                </w:tcPr>
                <w:p w14:paraId="43454B51">
                  <w:pPr>
                    <w:pStyle w:val="93"/>
                    <w:numPr>
                      <w:ilvl w:val="0"/>
                      <w:numId w:val="0"/>
                    </w:numPr>
                    <w:spacing w:line="240" w:lineRule="auto"/>
                    <w:jc w:val="center"/>
                    <w:rPr>
                      <w:rFonts w:hint="default" w:ascii="Times New Roman" w:hAnsi="Times New Roman" w:eastAsia="宋体" w:cs="宋体"/>
                      <w:caps w:val="0"/>
                      <w:color w:val="auto"/>
                      <w:spacing w:val="0"/>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vertAlign w:val="baseline"/>
                      <w:lang w:val="en-US" w:eastAsia="zh-CN"/>
                    </w:rPr>
                    <w:t>3</w:t>
                  </w:r>
                </w:p>
              </w:tc>
              <w:tc>
                <w:tcPr>
                  <w:tcW w:w="1213" w:type="pct"/>
                  <w:tcBorders>
                    <w:tl2br w:val="nil"/>
                    <w:tr2bl w:val="nil"/>
                  </w:tcBorders>
                  <w:noWrap w:val="0"/>
                  <w:vAlign w:val="center"/>
                </w:tcPr>
                <w:p w14:paraId="578E36FD">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碳纳米管水料</w:t>
                  </w:r>
                </w:p>
              </w:tc>
              <w:tc>
                <w:tcPr>
                  <w:tcW w:w="596" w:type="pct"/>
                  <w:tcBorders>
                    <w:tl2br w:val="nil"/>
                    <w:tr2bl w:val="nil"/>
                  </w:tcBorders>
                  <w:noWrap w:val="0"/>
                  <w:vAlign w:val="center"/>
                </w:tcPr>
                <w:p w14:paraId="04B4F20A">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固态</w:t>
                  </w:r>
                </w:p>
              </w:tc>
              <w:tc>
                <w:tcPr>
                  <w:tcW w:w="724" w:type="pct"/>
                  <w:tcBorders>
                    <w:tl2br w:val="nil"/>
                    <w:tr2bl w:val="nil"/>
                  </w:tcBorders>
                  <w:noWrap w:val="0"/>
                  <w:vAlign w:val="center"/>
                </w:tcPr>
                <w:p w14:paraId="6C573091">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2000t/a</w:t>
                  </w:r>
                </w:p>
              </w:tc>
              <w:tc>
                <w:tcPr>
                  <w:tcW w:w="750" w:type="pct"/>
                  <w:tcBorders>
                    <w:tl2br w:val="nil"/>
                    <w:tr2bl w:val="nil"/>
                  </w:tcBorders>
                  <w:noWrap w:val="0"/>
                  <w:vAlign w:val="center"/>
                </w:tcPr>
                <w:p w14:paraId="48997115">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0</w:t>
                  </w:r>
                </w:p>
              </w:tc>
              <w:tc>
                <w:tcPr>
                  <w:tcW w:w="683" w:type="pct"/>
                  <w:tcBorders>
                    <w:tl2br w:val="nil"/>
                    <w:tr2bl w:val="nil"/>
                  </w:tcBorders>
                  <w:noWrap w:val="0"/>
                  <w:vAlign w:val="center"/>
                </w:tcPr>
                <w:p w14:paraId="478AE0B1">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2000t/a</w:t>
                  </w:r>
                </w:p>
              </w:tc>
              <w:tc>
                <w:tcPr>
                  <w:tcW w:w="522" w:type="pct"/>
                  <w:tcBorders>
                    <w:tl2br w:val="nil"/>
                    <w:tr2bl w:val="nil"/>
                  </w:tcBorders>
                  <w:noWrap w:val="0"/>
                  <w:vAlign w:val="center"/>
                </w:tcPr>
                <w:p w14:paraId="5DF1DF71">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外购</w:t>
                  </w:r>
                </w:p>
              </w:tc>
            </w:tr>
            <w:tr w14:paraId="53C285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tcBorders>
                    <w:tl2br w:val="nil"/>
                    <w:tr2bl w:val="nil"/>
                  </w:tcBorders>
                  <w:noWrap w:val="0"/>
                  <w:vAlign w:val="center"/>
                </w:tcPr>
                <w:p w14:paraId="7F08C7AF">
                  <w:pPr>
                    <w:pStyle w:val="93"/>
                    <w:numPr>
                      <w:ilvl w:val="0"/>
                      <w:numId w:val="0"/>
                    </w:numPr>
                    <w:spacing w:line="240" w:lineRule="auto"/>
                    <w:jc w:val="center"/>
                    <w:rPr>
                      <w:rFonts w:hint="default" w:ascii="Times New Roman" w:hAnsi="Times New Roman" w:eastAsia="宋体" w:cs="宋体"/>
                      <w:caps w:val="0"/>
                      <w:color w:val="auto"/>
                      <w:spacing w:val="0"/>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vertAlign w:val="baseline"/>
                      <w:lang w:val="en-US" w:eastAsia="zh-CN"/>
                    </w:rPr>
                    <w:t>4</w:t>
                  </w:r>
                </w:p>
              </w:tc>
              <w:tc>
                <w:tcPr>
                  <w:tcW w:w="1213" w:type="pct"/>
                  <w:tcBorders>
                    <w:tl2br w:val="nil"/>
                    <w:tr2bl w:val="nil"/>
                  </w:tcBorders>
                  <w:noWrap w:val="0"/>
                  <w:vAlign w:val="center"/>
                </w:tcPr>
                <w:p w14:paraId="3A948FFD">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可膨胀石墨水料</w:t>
                  </w:r>
                </w:p>
              </w:tc>
              <w:tc>
                <w:tcPr>
                  <w:tcW w:w="596" w:type="pct"/>
                  <w:tcBorders>
                    <w:tl2br w:val="nil"/>
                    <w:tr2bl w:val="nil"/>
                  </w:tcBorders>
                  <w:noWrap w:val="0"/>
                  <w:vAlign w:val="center"/>
                </w:tcPr>
                <w:p w14:paraId="665DA743">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固态</w:t>
                  </w:r>
                </w:p>
              </w:tc>
              <w:tc>
                <w:tcPr>
                  <w:tcW w:w="724" w:type="pct"/>
                  <w:tcBorders>
                    <w:tl2br w:val="nil"/>
                    <w:tr2bl w:val="nil"/>
                  </w:tcBorders>
                  <w:noWrap w:val="0"/>
                  <w:vAlign w:val="center"/>
                </w:tcPr>
                <w:p w14:paraId="732100EA">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5000t/a</w:t>
                  </w:r>
                </w:p>
              </w:tc>
              <w:tc>
                <w:tcPr>
                  <w:tcW w:w="750" w:type="pct"/>
                  <w:tcBorders>
                    <w:tl2br w:val="nil"/>
                    <w:tr2bl w:val="nil"/>
                  </w:tcBorders>
                  <w:noWrap w:val="0"/>
                  <w:vAlign w:val="center"/>
                </w:tcPr>
                <w:p w14:paraId="19CC639F">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0</w:t>
                  </w:r>
                </w:p>
              </w:tc>
              <w:tc>
                <w:tcPr>
                  <w:tcW w:w="683" w:type="pct"/>
                  <w:tcBorders>
                    <w:tl2br w:val="nil"/>
                    <w:tr2bl w:val="nil"/>
                  </w:tcBorders>
                  <w:noWrap w:val="0"/>
                  <w:vAlign w:val="center"/>
                </w:tcPr>
                <w:p w14:paraId="740AFFAD">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5000t/a</w:t>
                  </w:r>
                </w:p>
              </w:tc>
              <w:tc>
                <w:tcPr>
                  <w:tcW w:w="522" w:type="pct"/>
                  <w:tcBorders>
                    <w:tl2br w:val="nil"/>
                    <w:tr2bl w:val="nil"/>
                  </w:tcBorders>
                  <w:noWrap w:val="0"/>
                  <w:vAlign w:val="center"/>
                </w:tcPr>
                <w:p w14:paraId="21DCB333">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外购</w:t>
                  </w:r>
                </w:p>
              </w:tc>
            </w:tr>
            <w:tr w14:paraId="60A883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tcBorders>
                    <w:tl2br w:val="nil"/>
                    <w:tr2bl w:val="nil"/>
                  </w:tcBorders>
                  <w:noWrap w:val="0"/>
                  <w:vAlign w:val="center"/>
                </w:tcPr>
                <w:p w14:paraId="0D63CA60">
                  <w:pPr>
                    <w:pStyle w:val="93"/>
                    <w:numPr>
                      <w:ilvl w:val="0"/>
                      <w:numId w:val="0"/>
                    </w:numPr>
                    <w:spacing w:line="240" w:lineRule="auto"/>
                    <w:jc w:val="center"/>
                    <w:rPr>
                      <w:rFonts w:hint="default" w:ascii="Times New Roman" w:hAnsi="Times New Roman" w:eastAsia="宋体" w:cs="宋体"/>
                      <w:caps w:val="0"/>
                      <w:color w:val="auto"/>
                      <w:spacing w:val="0"/>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vertAlign w:val="baseline"/>
                      <w:lang w:val="en-US" w:eastAsia="zh-CN"/>
                    </w:rPr>
                    <w:t>5</w:t>
                  </w:r>
                </w:p>
              </w:tc>
              <w:tc>
                <w:tcPr>
                  <w:tcW w:w="1213" w:type="pct"/>
                  <w:tcBorders>
                    <w:tl2br w:val="nil"/>
                    <w:tr2bl w:val="nil"/>
                  </w:tcBorders>
                  <w:noWrap w:val="0"/>
                  <w:vAlign w:val="center"/>
                </w:tcPr>
                <w:p w14:paraId="5E3845CE">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鳞片石墨粗料</w:t>
                  </w:r>
                </w:p>
              </w:tc>
              <w:tc>
                <w:tcPr>
                  <w:tcW w:w="596" w:type="pct"/>
                  <w:tcBorders>
                    <w:tl2br w:val="nil"/>
                    <w:tr2bl w:val="nil"/>
                  </w:tcBorders>
                  <w:noWrap w:val="0"/>
                  <w:vAlign w:val="center"/>
                </w:tcPr>
                <w:p w14:paraId="736142A0">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固态</w:t>
                  </w:r>
                </w:p>
              </w:tc>
              <w:tc>
                <w:tcPr>
                  <w:tcW w:w="724" w:type="pct"/>
                  <w:tcBorders>
                    <w:tl2br w:val="nil"/>
                    <w:tr2bl w:val="nil"/>
                  </w:tcBorders>
                  <w:noWrap w:val="0"/>
                  <w:vAlign w:val="center"/>
                </w:tcPr>
                <w:p w14:paraId="5E61C07E">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5000t/a</w:t>
                  </w:r>
                </w:p>
              </w:tc>
              <w:tc>
                <w:tcPr>
                  <w:tcW w:w="750" w:type="pct"/>
                  <w:tcBorders>
                    <w:tl2br w:val="nil"/>
                    <w:tr2bl w:val="nil"/>
                  </w:tcBorders>
                  <w:noWrap w:val="0"/>
                  <w:vAlign w:val="center"/>
                </w:tcPr>
                <w:p w14:paraId="18594540">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0</w:t>
                  </w:r>
                </w:p>
              </w:tc>
              <w:tc>
                <w:tcPr>
                  <w:tcW w:w="683" w:type="pct"/>
                  <w:tcBorders>
                    <w:tl2br w:val="nil"/>
                    <w:tr2bl w:val="nil"/>
                  </w:tcBorders>
                  <w:noWrap w:val="0"/>
                  <w:vAlign w:val="center"/>
                </w:tcPr>
                <w:p w14:paraId="31456381">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5000t/a</w:t>
                  </w:r>
                </w:p>
              </w:tc>
              <w:tc>
                <w:tcPr>
                  <w:tcW w:w="522" w:type="pct"/>
                  <w:tcBorders>
                    <w:tl2br w:val="nil"/>
                    <w:tr2bl w:val="nil"/>
                  </w:tcBorders>
                  <w:noWrap w:val="0"/>
                  <w:vAlign w:val="center"/>
                </w:tcPr>
                <w:p w14:paraId="60DE0CF8">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外购</w:t>
                  </w:r>
                </w:p>
              </w:tc>
            </w:tr>
            <w:tr w14:paraId="207A1F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tcBorders>
                    <w:tl2br w:val="nil"/>
                    <w:tr2bl w:val="nil"/>
                  </w:tcBorders>
                  <w:noWrap w:val="0"/>
                  <w:vAlign w:val="center"/>
                </w:tcPr>
                <w:p w14:paraId="73EE73B8">
                  <w:pPr>
                    <w:pStyle w:val="93"/>
                    <w:numPr>
                      <w:ilvl w:val="0"/>
                      <w:numId w:val="0"/>
                    </w:numPr>
                    <w:spacing w:line="240" w:lineRule="auto"/>
                    <w:jc w:val="center"/>
                    <w:rPr>
                      <w:rFonts w:hint="default" w:ascii="Times New Roman" w:hAnsi="Times New Roman" w:eastAsia="宋体" w:cs="宋体"/>
                      <w:caps w:val="0"/>
                      <w:color w:val="auto"/>
                      <w:spacing w:val="0"/>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vertAlign w:val="baseline"/>
                      <w:lang w:val="en-US" w:eastAsia="zh-CN"/>
                    </w:rPr>
                    <w:t>6</w:t>
                  </w:r>
                </w:p>
              </w:tc>
              <w:tc>
                <w:tcPr>
                  <w:tcW w:w="1213" w:type="pct"/>
                  <w:tcBorders>
                    <w:tl2br w:val="nil"/>
                    <w:tr2bl w:val="nil"/>
                  </w:tcBorders>
                  <w:noWrap w:val="0"/>
                  <w:vAlign w:val="center"/>
                </w:tcPr>
                <w:p w14:paraId="33CDCE44">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生物质燃料</w:t>
                  </w:r>
                </w:p>
              </w:tc>
              <w:tc>
                <w:tcPr>
                  <w:tcW w:w="596" w:type="pct"/>
                  <w:tcBorders>
                    <w:tl2br w:val="nil"/>
                    <w:tr2bl w:val="nil"/>
                  </w:tcBorders>
                  <w:noWrap w:val="0"/>
                  <w:vAlign w:val="center"/>
                </w:tcPr>
                <w:p w14:paraId="458BA815">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固态</w:t>
                  </w:r>
                </w:p>
              </w:tc>
              <w:tc>
                <w:tcPr>
                  <w:tcW w:w="724" w:type="pct"/>
                  <w:tcBorders>
                    <w:tl2br w:val="nil"/>
                    <w:tr2bl w:val="nil"/>
                  </w:tcBorders>
                  <w:noWrap w:val="0"/>
                  <w:vAlign w:val="center"/>
                </w:tcPr>
                <w:p w14:paraId="0589E52E">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2200t/a</w:t>
                  </w:r>
                </w:p>
              </w:tc>
              <w:tc>
                <w:tcPr>
                  <w:tcW w:w="750" w:type="pct"/>
                  <w:tcBorders>
                    <w:tl2br w:val="nil"/>
                    <w:tr2bl w:val="nil"/>
                  </w:tcBorders>
                  <w:noWrap w:val="0"/>
                  <w:vAlign w:val="center"/>
                </w:tcPr>
                <w:p w14:paraId="002937F8">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0</w:t>
                  </w:r>
                </w:p>
              </w:tc>
              <w:tc>
                <w:tcPr>
                  <w:tcW w:w="683" w:type="pct"/>
                  <w:tcBorders>
                    <w:tl2br w:val="nil"/>
                    <w:tr2bl w:val="nil"/>
                  </w:tcBorders>
                  <w:noWrap w:val="0"/>
                  <w:vAlign w:val="center"/>
                </w:tcPr>
                <w:p w14:paraId="07C192A7">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0</w:t>
                  </w:r>
                </w:p>
              </w:tc>
              <w:tc>
                <w:tcPr>
                  <w:tcW w:w="522" w:type="pct"/>
                  <w:tcBorders>
                    <w:tl2br w:val="nil"/>
                    <w:tr2bl w:val="nil"/>
                  </w:tcBorders>
                  <w:noWrap w:val="0"/>
                  <w:vAlign w:val="center"/>
                </w:tcPr>
                <w:p w14:paraId="2E58BBFD">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外购</w:t>
                  </w:r>
                </w:p>
              </w:tc>
            </w:tr>
            <w:tr w14:paraId="3E79C8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tcBorders>
                    <w:tl2br w:val="nil"/>
                    <w:tr2bl w:val="nil"/>
                  </w:tcBorders>
                  <w:noWrap w:val="0"/>
                  <w:vAlign w:val="center"/>
                </w:tcPr>
                <w:p w14:paraId="147C2F68">
                  <w:pPr>
                    <w:pStyle w:val="93"/>
                    <w:numPr>
                      <w:ilvl w:val="0"/>
                      <w:numId w:val="0"/>
                    </w:numPr>
                    <w:spacing w:line="240" w:lineRule="auto"/>
                    <w:jc w:val="center"/>
                    <w:rPr>
                      <w:rFonts w:hint="default" w:ascii="Times New Roman" w:hAnsi="Times New Roman" w:eastAsia="宋体" w:cs="宋体"/>
                      <w:caps w:val="0"/>
                      <w:color w:val="auto"/>
                      <w:spacing w:val="0"/>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vertAlign w:val="baseline"/>
                      <w:lang w:val="en-US" w:eastAsia="zh-CN"/>
                    </w:rPr>
                    <w:t>7</w:t>
                  </w:r>
                </w:p>
              </w:tc>
              <w:tc>
                <w:tcPr>
                  <w:tcW w:w="1213" w:type="pct"/>
                  <w:tcBorders>
                    <w:tl2br w:val="nil"/>
                    <w:tr2bl w:val="nil"/>
                  </w:tcBorders>
                  <w:noWrap w:val="0"/>
                  <w:vAlign w:val="center"/>
                </w:tcPr>
                <w:p w14:paraId="354C1ED8">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机油</w:t>
                  </w:r>
                </w:p>
              </w:tc>
              <w:tc>
                <w:tcPr>
                  <w:tcW w:w="596" w:type="pct"/>
                  <w:tcBorders>
                    <w:tl2br w:val="nil"/>
                    <w:tr2bl w:val="nil"/>
                  </w:tcBorders>
                  <w:noWrap w:val="0"/>
                  <w:vAlign w:val="center"/>
                </w:tcPr>
                <w:p w14:paraId="1AE6D418">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液态</w:t>
                  </w:r>
                </w:p>
              </w:tc>
              <w:tc>
                <w:tcPr>
                  <w:tcW w:w="724" w:type="pct"/>
                  <w:tcBorders>
                    <w:tl2br w:val="nil"/>
                    <w:tr2bl w:val="nil"/>
                  </w:tcBorders>
                  <w:noWrap w:val="0"/>
                  <w:vAlign w:val="center"/>
                </w:tcPr>
                <w:p w14:paraId="44AD35F5">
                  <w:pPr>
                    <w:pStyle w:val="93"/>
                    <w:numPr>
                      <w:ilvl w:val="0"/>
                      <w:numId w:val="0"/>
                    </w:numPr>
                    <w:spacing w:line="240" w:lineRule="auto"/>
                    <w:ind w:left="0" w:leftChars="0" w:firstLine="0" w:firstLineChars="0"/>
                    <w:jc w:val="center"/>
                    <w:rPr>
                      <w:rFonts w:hint="default"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0.005t/a</w:t>
                  </w:r>
                </w:p>
              </w:tc>
              <w:tc>
                <w:tcPr>
                  <w:tcW w:w="750" w:type="pct"/>
                  <w:tcBorders>
                    <w:tl2br w:val="nil"/>
                    <w:tr2bl w:val="nil"/>
                  </w:tcBorders>
                  <w:noWrap w:val="0"/>
                  <w:vAlign w:val="center"/>
                </w:tcPr>
                <w:p w14:paraId="7304FC79">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0.01t/a</w:t>
                  </w:r>
                </w:p>
              </w:tc>
              <w:tc>
                <w:tcPr>
                  <w:tcW w:w="683" w:type="pct"/>
                  <w:tcBorders>
                    <w:tl2br w:val="nil"/>
                    <w:tr2bl w:val="nil"/>
                  </w:tcBorders>
                  <w:noWrap w:val="0"/>
                  <w:vAlign w:val="center"/>
                </w:tcPr>
                <w:p w14:paraId="2A4EF229">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0.01t/a</w:t>
                  </w:r>
                </w:p>
              </w:tc>
              <w:tc>
                <w:tcPr>
                  <w:tcW w:w="522" w:type="pct"/>
                  <w:tcBorders>
                    <w:tl2br w:val="nil"/>
                    <w:tr2bl w:val="nil"/>
                  </w:tcBorders>
                  <w:noWrap w:val="0"/>
                  <w:vAlign w:val="center"/>
                </w:tcPr>
                <w:p w14:paraId="08E65AAC">
                  <w:pPr>
                    <w:pStyle w:val="93"/>
                    <w:numPr>
                      <w:ilvl w:val="0"/>
                      <w:numId w:val="0"/>
                    </w:numPr>
                    <w:spacing w:line="240" w:lineRule="auto"/>
                    <w:ind w:left="0" w:leftChars="0" w:firstLine="0" w:firstLineChars="0"/>
                    <w:jc w:val="center"/>
                    <w:rPr>
                      <w:rFonts w:hint="eastAsia" w:ascii="Times New Roman" w:hAnsi="Times New Roman" w:eastAsia="宋体" w:cs="宋体"/>
                      <w:bCs/>
                      <w:caps w:val="0"/>
                      <w:color w:val="auto"/>
                      <w:spacing w:val="0"/>
                      <w:kern w:val="2"/>
                      <w:sz w:val="21"/>
                      <w:szCs w:val="21"/>
                      <w:highlight w:val="none"/>
                      <w:vertAlign w:val="baseline"/>
                      <w:lang w:val="en-US" w:eastAsia="zh-CN" w:bidi="ar-SA"/>
                    </w:rPr>
                  </w:pPr>
                  <w:r>
                    <w:rPr>
                      <w:rFonts w:hint="eastAsia" w:ascii="Times New Roman" w:hAnsi="Times New Roman" w:eastAsia="宋体" w:cs="宋体"/>
                      <w:bCs/>
                      <w:caps w:val="0"/>
                      <w:color w:val="auto"/>
                      <w:spacing w:val="0"/>
                      <w:kern w:val="2"/>
                      <w:sz w:val="21"/>
                      <w:szCs w:val="21"/>
                      <w:highlight w:val="none"/>
                      <w:vertAlign w:val="baseline"/>
                      <w:lang w:val="en-US" w:eastAsia="zh-CN" w:bidi="ar-SA"/>
                    </w:rPr>
                    <w:t>外购</w:t>
                  </w:r>
                </w:p>
              </w:tc>
            </w:tr>
          </w:tbl>
          <w:p w14:paraId="671896D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宋体"/>
                <w:b w:val="0"/>
                <w:bCs w:val="0"/>
                <w:caps w:val="0"/>
                <w:color w:val="auto"/>
                <w:sz w:val="24"/>
                <w:highlight w:val="none"/>
                <w:lang w:val="en-US" w:eastAsia="zh-CN"/>
              </w:rPr>
            </w:pPr>
            <w:r>
              <w:rPr>
                <w:rFonts w:hint="eastAsia" w:ascii="Times New Roman" w:hAnsi="Times New Roman" w:eastAsia="宋体" w:cs="宋体"/>
                <w:b w:val="0"/>
                <w:bCs w:val="0"/>
                <w:caps w:val="0"/>
                <w:color w:val="auto"/>
                <w:sz w:val="24"/>
                <w:highlight w:val="none"/>
                <w:lang w:val="en-US" w:eastAsia="zh-CN"/>
              </w:rPr>
              <w:t>注：本项目建成后将以本项目全厂</w:t>
            </w:r>
            <w:r>
              <w:rPr>
                <w:rFonts w:hint="eastAsia" w:ascii="Times New Roman" w:hAnsi="Times New Roman" w:eastAsia="宋体" w:cs="宋体"/>
                <w:b w:val="0"/>
                <w:bCs w:val="0"/>
                <w:caps w:val="0"/>
                <w:color w:val="auto"/>
                <w:sz w:val="24"/>
                <w:highlight w:val="none"/>
                <w:lang w:val="en-US" w:eastAsia="zh-CN"/>
              </w:rPr>
              <w:t>导热油炉</w:t>
            </w:r>
            <w:r>
              <w:rPr>
                <w:rFonts w:hint="eastAsia" w:ascii="Times New Roman" w:hAnsi="Times New Roman" w:eastAsia="宋体" w:cs="宋体"/>
                <w:b w:val="0"/>
                <w:bCs w:val="0"/>
                <w:caps w:val="0"/>
                <w:color w:val="auto"/>
                <w:sz w:val="24"/>
                <w:highlight w:val="none"/>
                <w:lang w:val="en-US" w:eastAsia="zh-CN"/>
              </w:rPr>
              <w:t>情况计算导热油和机油使用量，替代原有工程的导热油和机油使用量。</w:t>
            </w:r>
          </w:p>
          <w:p w14:paraId="2E89A8D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宋体"/>
                <w:b w:val="0"/>
                <w:bCs w:val="0"/>
                <w:caps w:val="0"/>
                <w:color w:val="auto"/>
                <w:sz w:val="24"/>
                <w:highlight w:val="none"/>
                <w:lang w:val="en-US" w:eastAsia="zh-CN"/>
              </w:rPr>
            </w:pPr>
            <w:r>
              <w:rPr>
                <w:rFonts w:hint="eastAsia" w:ascii="Times New Roman" w:hAnsi="Times New Roman" w:eastAsia="宋体" w:cs="宋体"/>
                <w:b w:val="0"/>
                <w:bCs w:val="0"/>
                <w:caps w:val="0"/>
                <w:color w:val="auto"/>
                <w:sz w:val="24"/>
                <w:highlight w:val="none"/>
                <w:lang w:val="en-US" w:eastAsia="zh-CN"/>
              </w:rPr>
              <w:t>轻质柴油：轻质柴油是原油蒸馏过程中产生的轻质馏分燃料，是以碳原子数10-22的碳氢化合物为主的混合物，常温下呈液态，外观多为淡黄色透明液体，具有适宜的黏度和良好的流动性，感温性体现在其凝点和冷滤点指标上，适用于不同低温环境。挥发成分较多但硫含量低，符合国六等环保标准（本项目使用的轻质柴油为加油站购买，无其他购买来源，购买的柴油属于0#柴油，执行GB 19147-2016《车用柴油》国六b标准，硫含量限值≤10ppm。0#柴油属轻质柴油，用途可用于道路汽车、锅炉、内燃机等</w:t>
            </w:r>
            <w:r>
              <w:rPr>
                <w:rFonts w:hint="eastAsia" w:ascii="Times New Roman" w:hAnsi="Times New Roman" w:cs="宋体"/>
                <w:b w:val="0"/>
                <w:bCs w:val="0"/>
                <w:caps w:val="0"/>
                <w:color w:val="auto"/>
                <w:sz w:val="24"/>
                <w:highlight w:val="none"/>
                <w:lang w:val="en-US" w:eastAsia="zh-CN"/>
              </w:rPr>
              <w:t>。</w:t>
            </w:r>
            <w:r>
              <w:rPr>
                <w:rFonts w:hint="eastAsia" w:ascii="Times New Roman" w:hAnsi="Times New Roman" w:eastAsia="宋体" w:cs="宋体"/>
                <w:b w:val="0"/>
                <w:bCs w:val="0"/>
                <w:caps w:val="0"/>
                <w:color w:val="auto"/>
                <w:sz w:val="24"/>
                <w:highlight w:val="none"/>
                <w:lang w:val="en-US" w:eastAsia="zh-CN"/>
              </w:rPr>
              <w:t>车用柴油硫含量≤10mg/kg</w:t>
            </w:r>
            <w:r>
              <w:rPr>
                <w:rFonts w:hint="eastAsia" w:ascii="Times New Roman" w:hAnsi="Times New Roman" w:cs="宋体"/>
                <w:b w:val="0"/>
                <w:bCs w:val="0"/>
                <w:caps w:val="0"/>
                <w:color w:val="auto"/>
                <w:sz w:val="24"/>
                <w:highlight w:val="none"/>
                <w:lang w:val="en-US" w:eastAsia="zh-CN"/>
              </w:rPr>
              <w:t>，即10ppm</w:t>
            </w:r>
            <w:r>
              <w:rPr>
                <w:rFonts w:hint="eastAsia" w:ascii="Times New Roman" w:hAnsi="Times New Roman" w:eastAsia="宋体" w:cs="宋体"/>
                <w:b w:val="0"/>
                <w:bCs w:val="0"/>
                <w:caps w:val="0"/>
                <w:color w:val="auto"/>
                <w:sz w:val="24"/>
                <w:highlight w:val="none"/>
                <w:lang w:val="en-US" w:eastAsia="zh-CN"/>
              </w:rPr>
              <w:t>），密度通常为0.82-0.86g/cm</w:t>
            </w:r>
            <w:r>
              <w:rPr>
                <w:rFonts w:hint="eastAsia" w:ascii="Times New Roman" w:hAnsi="Times New Roman" w:eastAsia="宋体" w:cs="宋体"/>
                <w:b w:val="0"/>
                <w:bCs w:val="0"/>
                <w:caps w:val="0"/>
                <w:color w:val="auto"/>
                <w:sz w:val="24"/>
                <w:highlight w:val="none"/>
                <w:vertAlign w:val="superscript"/>
                <w:lang w:val="en-US" w:eastAsia="zh-CN"/>
              </w:rPr>
              <w:t>3</w:t>
            </w:r>
            <w:r>
              <w:rPr>
                <w:rFonts w:hint="eastAsia" w:ascii="Times New Roman" w:hAnsi="Times New Roman" w:eastAsia="宋体" w:cs="宋体"/>
                <w:b w:val="0"/>
                <w:bCs w:val="0"/>
                <w:caps w:val="0"/>
                <w:color w:val="auto"/>
                <w:sz w:val="24"/>
                <w:highlight w:val="none"/>
                <w:lang w:val="en-US" w:eastAsia="zh-CN"/>
              </w:rPr>
              <w:t>，热值约42.52MJ/kg，能量密度较高，主要用于高速柴油发动机（如汽车、拖拉机、中小型船舶及发电机组）。轻质柴油组分中十六烷值是衡量燃烧性能的关键指标（通常≥45），含量越高燃烧越平稳，其毒性低于甲醇但仍需注意防护，不溶于水但与石油烃类相容性好，储存运输需使用密封金属容器并远离火源，防止挥发和静电风险，具备燃烧效率高、动力性能稳定的特点，是交通运输、工业和农业领域的常用燃料。</w:t>
            </w:r>
          </w:p>
          <w:p w14:paraId="47E23D43">
            <w:pPr>
              <w:pStyle w:val="2"/>
              <w:keepNext w:val="0"/>
              <w:keepLines w:val="0"/>
              <w:pageBreakBefore w:val="0"/>
              <w:widowControl w:val="0"/>
              <w:kinsoku/>
              <w:wordWrap/>
              <w:overflowPunct/>
              <w:topLinePunct w:val="0"/>
              <w:autoSpaceDE/>
              <w:autoSpaceDN/>
              <w:bidi w:val="0"/>
              <w:adjustRightInd w:val="0"/>
              <w:snapToGrid w:val="0"/>
              <w:spacing w:after="0"/>
              <w:ind w:left="0" w:leftChars="0"/>
              <w:textAlignment w:val="auto"/>
              <w:rPr>
                <w:rFonts w:hint="default" w:ascii="Times New Roman" w:hAnsi="Times New Roman" w:eastAsia="宋体" w:cs="宋体"/>
                <w:b w:val="0"/>
                <w:bCs w:val="0"/>
                <w:caps w:val="0"/>
                <w:color w:val="auto"/>
                <w:kern w:val="2"/>
                <w:sz w:val="24"/>
                <w:szCs w:val="24"/>
                <w:highlight w:val="none"/>
                <w:lang w:val="en-US" w:eastAsia="zh-CN" w:bidi="ar-SA"/>
              </w:rPr>
            </w:pPr>
            <w:r>
              <w:rPr>
                <w:rFonts w:hint="eastAsia" w:ascii="Times New Roman" w:hAnsi="Times New Roman" w:eastAsia="宋体" w:cs="宋体"/>
                <w:b w:val="0"/>
                <w:bCs w:val="0"/>
                <w:caps w:val="0"/>
                <w:color w:val="auto"/>
                <w:kern w:val="2"/>
                <w:sz w:val="24"/>
                <w:szCs w:val="24"/>
                <w:highlight w:val="none"/>
                <w:lang w:val="en-US" w:eastAsia="zh-CN" w:bidi="ar-SA"/>
              </w:rPr>
              <w:t>导热油：导热油又称传热油，正规名称为热载体油，英文名称为Heat transfer oil，所以也称热导油，热媒油等。以精制矿物油为基础油，加导热油添加剂配制而成。导热油添加剂由多种耐高温抗氧剂、阻焦剂、清净分散剂、防锈剂等多功能添加剂调配而成。导热油硫含量≤0.2%，氯含量≤0.01%，闪点为216℃，无毒。</w:t>
            </w:r>
          </w:p>
          <w:p w14:paraId="656F91BB">
            <w:pPr>
              <w:spacing w:line="360" w:lineRule="auto"/>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5.燃料消耗</w:t>
            </w:r>
          </w:p>
          <w:p w14:paraId="33C07189">
            <w:pPr>
              <w:spacing w:line="360" w:lineRule="auto"/>
              <w:contextualSpacing/>
              <w:jc w:val="left"/>
              <w:rPr>
                <w:rFonts w:hint="eastAsia" w:ascii="Times New Roman" w:hAnsi="Times New Roman" w:eastAsia="宋体" w:cs="宋体"/>
                <w:bCs/>
                <w:caps w:val="0"/>
                <w:spacing w:val="0"/>
                <w:sz w:val="24"/>
                <w:szCs w:val="24"/>
                <w:highlight w:val="none"/>
                <w:lang w:val="en-US" w:eastAsia="zh-CN"/>
              </w:rPr>
            </w:pPr>
            <w:r>
              <w:rPr>
                <w:rFonts w:hint="eastAsia" w:ascii="Times New Roman" w:hAnsi="Times New Roman" w:eastAsia="宋体" w:cs="宋体"/>
                <w:b w:val="0"/>
                <w:bCs w:val="0"/>
                <w:caps w:val="0"/>
                <w:color w:val="auto"/>
                <w:sz w:val="24"/>
                <w:highlight w:val="none"/>
                <w:lang w:val="en-US" w:eastAsia="zh-CN"/>
              </w:rPr>
              <w:t>导热油炉</w:t>
            </w:r>
            <w:r>
              <w:rPr>
                <w:rFonts w:hint="eastAsia" w:ascii="Times New Roman" w:hAnsi="Times New Roman" w:eastAsia="宋体" w:cs="宋体"/>
                <w:bCs/>
                <w:caps w:val="0"/>
                <w:spacing w:val="0"/>
                <w:sz w:val="24"/>
                <w:szCs w:val="24"/>
                <w:highlight w:val="none"/>
                <w:lang w:val="en-US" w:eastAsia="zh-CN"/>
              </w:rPr>
              <w:t>燃料消耗计算方法：总热功率/热效率/燃料发热量＝燃料消耗量，两台0.35MW</w:t>
            </w:r>
            <w:r>
              <w:rPr>
                <w:rFonts w:hint="eastAsia" w:ascii="Times New Roman" w:hAnsi="Times New Roman" w:eastAsia="宋体" w:cs="宋体"/>
                <w:b w:val="0"/>
                <w:bCs w:val="0"/>
                <w:caps w:val="0"/>
                <w:color w:val="auto"/>
                <w:sz w:val="24"/>
                <w:highlight w:val="none"/>
                <w:lang w:val="en-US" w:eastAsia="zh-CN"/>
              </w:rPr>
              <w:t>导热油炉</w:t>
            </w:r>
            <w:r>
              <w:rPr>
                <w:rFonts w:hint="eastAsia" w:ascii="Times New Roman" w:hAnsi="Times New Roman" w:eastAsia="宋体" w:cs="宋体"/>
                <w:bCs/>
                <w:caps w:val="0"/>
                <w:spacing w:val="0"/>
                <w:sz w:val="24"/>
                <w:szCs w:val="24"/>
                <w:highlight w:val="none"/>
                <w:lang w:val="en-US" w:eastAsia="zh-CN"/>
              </w:rPr>
              <w:t>总热功率为60万大卡，</w:t>
            </w:r>
            <w:r>
              <w:rPr>
                <w:rFonts w:hint="eastAsia" w:ascii="Times New Roman" w:hAnsi="Times New Roman" w:eastAsia="宋体" w:cs="宋体"/>
                <w:caps w:val="0"/>
                <w:color w:val="auto"/>
                <w:sz w:val="24"/>
                <w:highlight w:val="none"/>
                <w:lang w:val="en-US" w:eastAsia="zh-CN"/>
              </w:rPr>
              <w:t>轻质柴油热值为42.52MJ/kg。</w:t>
            </w:r>
            <w:r>
              <w:rPr>
                <w:rFonts w:hint="eastAsia" w:ascii="Times New Roman" w:hAnsi="Times New Roman" w:eastAsia="宋体" w:cs="宋体"/>
                <w:bCs/>
                <w:caps w:val="0"/>
                <w:spacing w:val="0"/>
                <w:sz w:val="24"/>
                <w:szCs w:val="24"/>
                <w:highlight w:val="none"/>
                <w:lang w:val="en-US" w:eastAsia="zh-CN"/>
              </w:rPr>
              <w:t>（</w:t>
            </w:r>
            <w:r>
              <w:rPr>
                <w:rFonts w:hint="default" w:ascii="Times New Roman" w:hAnsi="Times New Roman" w:eastAsia="宋体" w:cs="宋体"/>
                <w:bCs/>
                <w:caps w:val="0"/>
                <w:spacing w:val="0"/>
                <w:sz w:val="24"/>
                <w:szCs w:val="24"/>
                <w:highlight w:val="none"/>
                <w:lang w:val="en-US" w:eastAsia="zh-CN"/>
              </w:rPr>
              <w:t>1MJ=1000000</w:t>
            </w:r>
            <w:r>
              <w:rPr>
                <w:rFonts w:hint="eastAsia" w:ascii="Times New Roman" w:hAnsi="Times New Roman" w:eastAsia="宋体" w:cs="宋体"/>
                <w:bCs/>
                <w:caps w:val="0"/>
                <w:spacing w:val="0"/>
                <w:sz w:val="24"/>
                <w:szCs w:val="24"/>
                <w:highlight w:val="none"/>
                <w:lang w:val="en-US" w:eastAsia="zh-CN"/>
              </w:rPr>
              <w:t>焦耳=</w:t>
            </w:r>
            <w:r>
              <w:rPr>
                <w:rFonts w:hint="default" w:ascii="Times New Roman" w:hAnsi="Times New Roman" w:eastAsia="宋体" w:cs="宋体"/>
                <w:bCs/>
                <w:caps w:val="0"/>
                <w:spacing w:val="0"/>
                <w:sz w:val="24"/>
                <w:szCs w:val="24"/>
                <w:highlight w:val="none"/>
                <w:lang w:val="en-US" w:eastAsia="zh-CN"/>
              </w:rPr>
              <w:t>239</w:t>
            </w:r>
            <w:r>
              <w:rPr>
                <w:rFonts w:hint="eastAsia" w:ascii="Times New Roman" w:hAnsi="Times New Roman" w:eastAsia="宋体" w:cs="宋体"/>
                <w:bCs/>
                <w:caps w:val="0"/>
                <w:spacing w:val="0"/>
                <w:sz w:val="24"/>
                <w:szCs w:val="24"/>
                <w:highlight w:val="none"/>
                <w:lang w:val="en-US" w:eastAsia="zh-CN"/>
              </w:rPr>
              <w:t>.</w:t>
            </w:r>
            <w:r>
              <w:rPr>
                <w:rFonts w:hint="default" w:ascii="Times New Roman" w:hAnsi="Times New Roman" w:eastAsia="宋体" w:cs="宋体"/>
                <w:bCs/>
                <w:caps w:val="0"/>
                <w:spacing w:val="0"/>
                <w:sz w:val="24"/>
                <w:szCs w:val="24"/>
                <w:highlight w:val="none"/>
                <w:lang w:val="en-US" w:eastAsia="zh-CN"/>
              </w:rPr>
              <w:t>234</w:t>
            </w:r>
            <w:r>
              <w:rPr>
                <w:rFonts w:hint="eastAsia" w:ascii="Times New Roman" w:hAnsi="Times New Roman" w:eastAsia="宋体" w:cs="宋体"/>
                <w:bCs/>
                <w:caps w:val="0"/>
                <w:spacing w:val="0"/>
                <w:sz w:val="24"/>
                <w:szCs w:val="24"/>
                <w:highlight w:val="none"/>
                <w:lang w:val="en-US" w:eastAsia="zh-CN"/>
              </w:rPr>
              <w:t>大卡）即10172.22968大卡/</w:t>
            </w:r>
            <w:r>
              <w:rPr>
                <w:rFonts w:hint="default" w:ascii="Times New Roman" w:hAnsi="Times New Roman" w:eastAsia="宋体" w:cs="宋体"/>
                <w:bCs/>
                <w:caps w:val="0"/>
                <w:color w:val="auto"/>
                <w:sz w:val="21"/>
                <w:szCs w:val="21"/>
                <w:highlight w:val="none"/>
              </w:rPr>
              <w:t>kg</w:t>
            </w:r>
            <w:r>
              <w:rPr>
                <w:rFonts w:hint="eastAsia" w:ascii="Times New Roman" w:hAnsi="Times New Roman" w:eastAsia="宋体" w:cs="宋体"/>
                <w:bCs/>
                <w:caps w:val="0"/>
                <w:spacing w:val="0"/>
                <w:sz w:val="24"/>
                <w:szCs w:val="24"/>
                <w:highlight w:val="none"/>
                <w:lang w:val="en-US" w:eastAsia="zh-CN"/>
              </w:rPr>
              <w:t>，</w:t>
            </w:r>
            <w:r>
              <w:rPr>
                <w:rFonts w:hint="eastAsia" w:ascii="Times New Roman" w:hAnsi="Times New Roman" w:cs="宋体"/>
                <w:caps w:val="0"/>
                <w:color w:val="000000"/>
                <w:spacing w:val="0"/>
                <w:sz w:val="24"/>
                <w:highlight w:val="none"/>
                <w:lang w:val="en-US" w:eastAsia="zh-CN"/>
              </w:rPr>
              <w:t>导热油炉</w:t>
            </w:r>
            <w:r>
              <w:rPr>
                <w:rFonts w:hint="eastAsia" w:ascii="Times New Roman" w:hAnsi="Times New Roman" w:eastAsia="宋体" w:cs="宋体"/>
                <w:bCs/>
                <w:caps w:val="0"/>
                <w:spacing w:val="0"/>
                <w:sz w:val="24"/>
                <w:szCs w:val="24"/>
                <w:highlight w:val="none"/>
                <w:lang w:val="en-US" w:eastAsia="zh-CN"/>
              </w:rPr>
              <w:t>热效率</w:t>
            </w:r>
            <w:r>
              <w:rPr>
                <w:rFonts w:hint="default" w:ascii="Times New Roman" w:hAnsi="Times New Roman" w:eastAsia="宋体" w:cs="宋体"/>
                <w:bCs/>
                <w:caps w:val="0"/>
                <w:spacing w:val="0"/>
                <w:sz w:val="24"/>
                <w:szCs w:val="24"/>
                <w:highlight w:val="none"/>
                <w:lang w:val="en-US" w:eastAsia="zh-CN"/>
              </w:rPr>
              <w:t>85%</w:t>
            </w:r>
            <w:r>
              <w:rPr>
                <w:rFonts w:hint="eastAsia" w:ascii="Times New Roman" w:hAnsi="Times New Roman" w:eastAsia="宋体" w:cs="宋体"/>
                <w:bCs/>
                <w:caps w:val="0"/>
                <w:spacing w:val="0"/>
                <w:sz w:val="24"/>
                <w:szCs w:val="24"/>
                <w:highlight w:val="none"/>
                <w:lang w:val="en-US" w:eastAsia="zh-CN"/>
              </w:rPr>
              <w:t>，本则2台0.35MW</w:t>
            </w:r>
            <w:r>
              <w:rPr>
                <w:rFonts w:hint="eastAsia" w:ascii="Times New Roman" w:hAnsi="Times New Roman" w:eastAsia="宋体" w:cs="宋体"/>
                <w:b w:val="0"/>
                <w:bCs w:val="0"/>
                <w:caps w:val="0"/>
                <w:color w:val="auto"/>
                <w:sz w:val="24"/>
                <w:highlight w:val="none"/>
                <w:lang w:val="en-US" w:eastAsia="zh-CN"/>
              </w:rPr>
              <w:t>导热油炉</w:t>
            </w:r>
            <w:r>
              <w:rPr>
                <w:rFonts w:hint="eastAsia" w:ascii="Times New Roman" w:hAnsi="Times New Roman" w:eastAsia="宋体" w:cs="宋体"/>
                <w:bCs/>
                <w:caps w:val="0"/>
                <w:spacing w:val="0"/>
                <w:sz w:val="24"/>
                <w:szCs w:val="24"/>
                <w:highlight w:val="none"/>
                <w:lang w:val="en-US" w:eastAsia="zh-CN"/>
              </w:rPr>
              <w:t>轻质柴油消耗量：</w:t>
            </w:r>
          </w:p>
          <w:p w14:paraId="7515CF43">
            <w:pPr>
              <w:spacing w:line="360" w:lineRule="auto"/>
              <w:contextualSpacing/>
              <w:jc w:val="left"/>
              <w:rPr>
                <w:rFonts w:hint="default" w:ascii="Times New Roman" w:hAnsi="Times New Roman" w:eastAsia="宋体" w:cs="宋体"/>
                <w:bCs/>
                <w:caps w:val="0"/>
                <w:spacing w:val="0"/>
                <w:sz w:val="24"/>
                <w:szCs w:val="24"/>
                <w:highlight w:val="none"/>
                <w:lang w:val="en-US" w:eastAsia="zh-CN"/>
              </w:rPr>
            </w:pPr>
            <w:r>
              <w:rPr>
                <w:rFonts w:hint="eastAsia" w:ascii="Times New Roman" w:hAnsi="Times New Roman" w:eastAsia="宋体" w:cs="宋体"/>
                <w:bCs/>
                <w:caps w:val="0"/>
                <w:spacing w:val="0"/>
                <w:sz w:val="24"/>
                <w:szCs w:val="24"/>
                <w:highlight w:val="none"/>
                <w:lang w:val="en-US" w:eastAsia="zh-CN"/>
              </w:rPr>
              <w:t>600000</w:t>
            </w:r>
            <w:r>
              <w:rPr>
                <w:rFonts w:hint="default" w:ascii="Times New Roman" w:hAnsi="Times New Roman" w:eastAsia="宋体" w:cs="宋体"/>
                <w:bCs/>
                <w:caps w:val="0"/>
                <w:spacing w:val="0"/>
                <w:sz w:val="24"/>
                <w:szCs w:val="24"/>
                <w:highlight w:val="none"/>
                <w:lang w:val="en-US" w:eastAsia="zh-CN"/>
              </w:rPr>
              <w:t>/85%/</w:t>
            </w:r>
            <w:r>
              <w:rPr>
                <w:rFonts w:hint="eastAsia" w:ascii="Times New Roman" w:hAnsi="Times New Roman" w:eastAsia="宋体" w:cs="宋体"/>
                <w:bCs/>
                <w:caps w:val="0"/>
                <w:spacing w:val="0"/>
                <w:sz w:val="24"/>
                <w:szCs w:val="24"/>
                <w:highlight w:val="none"/>
                <w:lang w:val="en-US" w:eastAsia="zh-CN"/>
              </w:rPr>
              <w:t>10172.22968</w:t>
            </w:r>
            <w:r>
              <w:rPr>
                <w:rFonts w:hint="default" w:ascii="Times New Roman" w:hAnsi="Times New Roman" w:eastAsia="宋体" w:cs="宋体"/>
                <w:bCs/>
                <w:caps w:val="0"/>
                <w:spacing w:val="0"/>
                <w:sz w:val="24"/>
                <w:szCs w:val="24"/>
                <w:highlight w:val="none"/>
                <w:lang w:val="en-US" w:eastAsia="zh-CN"/>
              </w:rPr>
              <w:t>/1000</w:t>
            </w:r>
            <w:r>
              <w:rPr>
                <w:rFonts w:hint="eastAsia" w:ascii="Times New Roman" w:hAnsi="Times New Roman" w:eastAsia="宋体" w:cs="宋体"/>
                <w:bCs/>
                <w:caps w:val="0"/>
                <w:spacing w:val="0"/>
                <w:sz w:val="24"/>
                <w:szCs w:val="24"/>
                <w:highlight w:val="none"/>
                <w:lang w:val="en-US" w:eastAsia="zh-CN"/>
              </w:rPr>
              <w:t>=0.06939</w:t>
            </w:r>
            <w:r>
              <w:rPr>
                <w:rFonts w:hint="default" w:ascii="Times New Roman" w:hAnsi="Times New Roman" w:eastAsia="宋体" w:cs="宋体"/>
                <w:bCs/>
                <w:caps w:val="0"/>
                <w:spacing w:val="0"/>
                <w:sz w:val="24"/>
                <w:szCs w:val="24"/>
                <w:highlight w:val="none"/>
                <w:lang w:val="en-US" w:eastAsia="zh-CN"/>
              </w:rPr>
              <w:t>t/h</w:t>
            </w:r>
            <w:r>
              <w:rPr>
                <w:rFonts w:hint="eastAsia" w:ascii="Times New Roman" w:hAnsi="Times New Roman" w:eastAsia="宋体" w:cs="宋体"/>
                <w:bCs/>
                <w:caps w:val="0"/>
                <w:spacing w:val="0"/>
                <w:sz w:val="24"/>
                <w:szCs w:val="24"/>
                <w:highlight w:val="none"/>
                <w:lang w:val="en-US" w:eastAsia="zh-CN"/>
              </w:rPr>
              <w:t>，年生产300d每日运行</w:t>
            </w:r>
            <w:r>
              <w:rPr>
                <w:rFonts w:hint="default" w:ascii="Times New Roman" w:hAnsi="Times New Roman" w:eastAsia="宋体" w:cs="宋体"/>
                <w:bCs/>
                <w:caps w:val="0"/>
                <w:spacing w:val="0"/>
                <w:sz w:val="24"/>
                <w:szCs w:val="24"/>
                <w:highlight w:val="none"/>
                <w:lang w:val="en-US" w:eastAsia="zh-CN"/>
              </w:rPr>
              <w:t>2</w:t>
            </w:r>
            <w:r>
              <w:rPr>
                <w:rFonts w:hint="eastAsia" w:ascii="Times New Roman" w:hAnsi="Times New Roman" w:eastAsia="宋体" w:cs="宋体"/>
                <w:bCs/>
                <w:caps w:val="0"/>
                <w:spacing w:val="0"/>
                <w:sz w:val="24"/>
                <w:szCs w:val="24"/>
                <w:highlight w:val="none"/>
                <w:lang w:val="en-US" w:eastAsia="zh-CN"/>
              </w:rPr>
              <w:t>0</w:t>
            </w:r>
            <w:r>
              <w:rPr>
                <w:rFonts w:hint="default" w:ascii="Times New Roman" w:hAnsi="Times New Roman" w:eastAsia="宋体" w:cs="宋体"/>
                <w:bCs/>
                <w:caps w:val="0"/>
                <w:spacing w:val="0"/>
                <w:sz w:val="24"/>
                <w:szCs w:val="24"/>
                <w:highlight w:val="none"/>
                <w:lang w:val="en-US" w:eastAsia="zh-CN"/>
              </w:rPr>
              <w:t>h</w:t>
            </w:r>
            <w:r>
              <w:rPr>
                <w:rFonts w:hint="eastAsia" w:ascii="Times New Roman" w:hAnsi="Times New Roman" w:eastAsia="宋体" w:cs="宋体"/>
                <w:bCs/>
                <w:caps w:val="0"/>
                <w:spacing w:val="0"/>
                <w:sz w:val="24"/>
                <w:szCs w:val="24"/>
                <w:highlight w:val="none"/>
                <w:lang w:val="en-US" w:eastAsia="zh-CN"/>
              </w:rPr>
              <w:t>，轻质柴油年消耗量为416.34</w:t>
            </w:r>
            <w:r>
              <w:rPr>
                <w:rFonts w:hint="default" w:ascii="Times New Roman" w:hAnsi="Times New Roman" w:eastAsia="宋体" w:cs="宋体"/>
                <w:bCs/>
                <w:caps w:val="0"/>
                <w:spacing w:val="0"/>
                <w:sz w:val="24"/>
                <w:szCs w:val="24"/>
                <w:highlight w:val="none"/>
                <w:lang w:val="en-US" w:eastAsia="zh-CN"/>
              </w:rPr>
              <w:t>t/a</w:t>
            </w:r>
            <w:r>
              <w:rPr>
                <w:rFonts w:hint="eastAsia" w:ascii="Times New Roman" w:hAnsi="Times New Roman" w:eastAsia="宋体" w:cs="宋体"/>
                <w:bCs/>
                <w:caps w:val="0"/>
                <w:spacing w:val="0"/>
                <w:sz w:val="24"/>
                <w:szCs w:val="24"/>
                <w:highlight w:val="none"/>
                <w:lang w:val="en-US" w:eastAsia="zh-CN"/>
              </w:rPr>
              <w:t>。</w:t>
            </w:r>
          </w:p>
          <w:p w14:paraId="29A0996A">
            <w:pPr>
              <w:spacing w:line="360" w:lineRule="auto"/>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6.劳动定员及工作制度</w:t>
            </w:r>
          </w:p>
          <w:p w14:paraId="16EC3A7F">
            <w:pPr>
              <w:spacing w:line="360" w:lineRule="auto"/>
              <w:contextualSpacing/>
              <w:jc w:val="left"/>
              <w:rPr>
                <w:rFonts w:hint="default" w:ascii="Times New Roman" w:hAnsi="Times New Roman" w:eastAsia="宋体" w:cs="宋体"/>
                <w:caps w:val="0"/>
                <w:spacing w:val="0"/>
                <w:kern w:val="0"/>
                <w:sz w:val="24"/>
                <w:szCs w:val="24"/>
                <w:highlight w:val="none"/>
                <w:lang w:val="en-US" w:eastAsia="zh-CN"/>
              </w:rPr>
            </w:pPr>
            <w:r>
              <w:rPr>
                <w:rFonts w:hint="eastAsia" w:ascii="Times New Roman" w:hAnsi="Times New Roman" w:eastAsia="宋体" w:cs="宋体"/>
                <w:caps w:val="0"/>
                <w:spacing w:val="0"/>
                <w:sz w:val="24"/>
                <w:szCs w:val="24"/>
                <w:highlight w:val="none"/>
              </w:rPr>
              <w:t>项目</w:t>
            </w:r>
            <w:r>
              <w:rPr>
                <w:rFonts w:hint="eastAsia" w:ascii="Times New Roman" w:hAnsi="Times New Roman" w:eastAsia="宋体" w:cs="宋体"/>
                <w:caps w:val="0"/>
                <w:spacing w:val="0"/>
                <w:sz w:val="24"/>
                <w:szCs w:val="24"/>
                <w:highlight w:val="none"/>
                <w:lang w:val="en-US" w:eastAsia="zh-CN"/>
              </w:rPr>
              <w:t>不新增</w:t>
            </w:r>
            <w:r>
              <w:rPr>
                <w:rFonts w:hint="eastAsia" w:ascii="Times New Roman" w:hAnsi="Times New Roman" w:eastAsia="宋体" w:cs="宋体"/>
                <w:caps w:val="0"/>
                <w:spacing w:val="0"/>
                <w:sz w:val="24"/>
                <w:szCs w:val="24"/>
                <w:highlight w:val="none"/>
              </w:rPr>
              <w:t>劳动定员，年工作</w:t>
            </w:r>
            <w:r>
              <w:rPr>
                <w:rFonts w:hint="default" w:ascii="Times New Roman" w:hAnsi="Times New Roman" w:eastAsia="宋体" w:cs="宋体"/>
                <w:caps w:val="0"/>
                <w:spacing w:val="0"/>
                <w:sz w:val="24"/>
                <w:szCs w:val="24"/>
                <w:highlight w:val="none"/>
                <w:lang w:val="en-US" w:eastAsia="zh-CN"/>
              </w:rPr>
              <w:t>300</w:t>
            </w:r>
            <w:r>
              <w:rPr>
                <w:rFonts w:hint="eastAsia" w:ascii="Times New Roman" w:hAnsi="Times New Roman" w:eastAsia="宋体" w:cs="宋体"/>
                <w:caps w:val="0"/>
                <w:spacing w:val="0"/>
                <w:sz w:val="24"/>
                <w:szCs w:val="24"/>
                <w:highlight w:val="none"/>
              </w:rPr>
              <w:t>天</w:t>
            </w:r>
            <w:r>
              <w:rPr>
                <w:rFonts w:hint="eastAsia" w:ascii="Times New Roman" w:hAnsi="Times New Roman" w:eastAsia="宋体" w:cs="宋体"/>
                <w:caps w:val="0"/>
                <w:spacing w:val="0"/>
                <w:sz w:val="24"/>
                <w:szCs w:val="24"/>
                <w:highlight w:val="none"/>
                <w:lang w:val="en-US" w:eastAsia="zh-CN"/>
              </w:rPr>
              <w:t>，</w:t>
            </w:r>
            <w:r>
              <w:rPr>
                <w:rFonts w:hint="eastAsia" w:ascii="Times New Roman" w:hAnsi="Times New Roman" w:cs="宋体"/>
                <w:caps w:val="0"/>
                <w:spacing w:val="0"/>
                <w:sz w:val="24"/>
                <w:szCs w:val="24"/>
                <w:highlight w:val="none"/>
                <w:lang w:val="en-US" w:eastAsia="zh-CN"/>
              </w:rPr>
              <w:t>采用</w:t>
            </w:r>
            <w:r>
              <w:rPr>
                <w:rFonts w:hint="eastAsia" w:ascii="Times New Roman" w:hAnsi="Times New Roman" w:eastAsia="宋体" w:cs="宋体"/>
                <w:caps w:val="0"/>
                <w:spacing w:val="0"/>
                <w:sz w:val="24"/>
                <w:szCs w:val="24"/>
                <w:highlight w:val="none"/>
                <w:lang w:val="en-US" w:eastAsia="zh-CN"/>
              </w:rPr>
              <w:t>双</w:t>
            </w:r>
            <w:r>
              <w:rPr>
                <w:rFonts w:hint="eastAsia" w:ascii="Times New Roman" w:hAnsi="Times New Roman" w:eastAsia="宋体" w:cs="宋体"/>
                <w:caps w:val="0"/>
                <w:spacing w:val="0"/>
                <w:sz w:val="24"/>
                <w:szCs w:val="24"/>
                <w:highlight w:val="none"/>
              </w:rPr>
              <w:t>班制</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lang w:val="en-US" w:eastAsia="zh-CN"/>
              </w:rPr>
              <w:t>每班工作12小时，其中</w:t>
            </w:r>
            <w:r>
              <w:rPr>
                <w:rFonts w:hint="eastAsia" w:ascii="Times New Roman" w:hAnsi="Times New Roman" w:cs="宋体"/>
                <w:caps w:val="0"/>
                <w:color w:val="000000"/>
                <w:spacing w:val="0"/>
                <w:sz w:val="24"/>
                <w:highlight w:val="none"/>
                <w:lang w:val="en-US" w:eastAsia="zh-CN"/>
              </w:rPr>
              <w:t>导热油炉</w:t>
            </w:r>
            <w:r>
              <w:rPr>
                <w:rFonts w:hint="eastAsia" w:ascii="Times New Roman" w:hAnsi="Times New Roman" w:eastAsia="宋体" w:cs="宋体"/>
                <w:caps w:val="0"/>
                <w:spacing w:val="0"/>
                <w:sz w:val="24"/>
                <w:szCs w:val="24"/>
                <w:highlight w:val="none"/>
              </w:rPr>
              <w:t>日</w:t>
            </w:r>
            <w:r>
              <w:rPr>
                <w:rFonts w:hint="eastAsia" w:ascii="Times New Roman" w:hAnsi="Times New Roman" w:cs="宋体"/>
                <w:caps w:val="0"/>
                <w:spacing w:val="0"/>
                <w:sz w:val="24"/>
                <w:szCs w:val="24"/>
                <w:highlight w:val="none"/>
                <w:lang w:val="en-US" w:eastAsia="zh-CN"/>
              </w:rPr>
              <w:t>运行时间为</w:t>
            </w:r>
            <w:r>
              <w:rPr>
                <w:rFonts w:hint="default" w:ascii="Times New Roman" w:hAnsi="Times New Roman" w:eastAsia="宋体" w:cs="宋体"/>
                <w:caps w:val="0"/>
                <w:spacing w:val="0"/>
                <w:sz w:val="24"/>
                <w:szCs w:val="24"/>
                <w:highlight w:val="none"/>
                <w:lang w:val="en-US" w:eastAsia="zh-CN"/>
              </w:rPr>
              <w:t>2</w:t>
            </w:r>
            <w:r>
              <w:rPr>
                <w:rFonts w:hint="eastAsia" w:ascii="Times New Roman" w:hAnsi="Times New Roman" w:eastAsia="宋体" w:cs="宋体"/>
                <w:caps w:val="0"/>
                <w:spacing w:val="0"/>
                <w:sz w:val="24"/>
                <w:szCs w:val="24"/>
                <w:highlight w:val="none"/>
                <w:lang w:val="en-US" w:eastAsia="zh-CN"/>
              </w:rPr>
              <w:t>0</w:t>
            </w:r>
            <w:r>
              <w:rPr>
                <w:rFonts w:hint="default" w:ascii="Times New Roman" w:hAnsi="Times New Roman" w:eastAsia="宋体" w:cs="宋体"/>
                <w:caps w:val="0"/>
                <w:spacing w:val="0"/>
                <w:sz w:val="24"/>
                <w:szCs w:val="24"/>
                <w:highlight w:val="none"/>
              </w:rPr>
              <w:t>h</w:t>
            </w:r>
            <w:r>
              <w:rPr>
                <w:rFonts w:hint="eastAsia" w:ascii="Times New Roman" w:hAnsi="Times New Roman" w:eastAsia="宋体" w:cs="宋体"/>
                <w:caps w:val="0"/>
                <w:spacing w:val="0"/>
                <w:sz w:val="24"/>
                <w:szCs w:val="24"/>
                <w:highlight w:val="none"/>
              </w:rPr>
              <w:t>，</w:t>
            </w:r>
            <w:r>
              <w:rPr>
                <w:rFonts w:hint="eastAsia" w:ascii="Times New Roman" w:hAnsi="Times New Roman" w:cs="宋体"/>
                <w:caps w:val="0"/>
                <w:spacing w:val="0"/>
                <w:sz w:val="24"/>
                <w:szCs w:val="24"/>
                <w:highlight w:val="none"/>
                <w:lang w:val="en-US" w:eastAsia="zh-CN"/>
              </w:rPr>
              <w:t>年运行300天</w:t>
            </w:r>
            <w:r>
              <w:rPr>
                <w:rFonts w:hint="eastAsia" w:ascii="Times New Roman" w:hAnsi="Times New Roman" w:eastAsia="宋体" w:cs="宋体"/>
                <w:caps w:val="0"/>
                <w:spacing w:val="0"/>
                <w:sz w:val="24"/>
                <w:szCs w:val="24"/>
                <w:highlight w:val="none"/>
              </w:rPr>
              <w:t>。</w:t>
            </w:r>
          </w:p>
          <w:p w14:paraId="7CAD891A">
            <w:pPr>
              <w:spacing w:line="360" w:lineRule="auto"/>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7.工程进度</w:t>
            </w:r>
          </w:p>
          <w:p w14:paraId="1D470EC2">
            <w:pPr>
              <w:pStyle w:val="123"/>
              <w:adjustRightInd/>
              <w:snapToGrid/>
              <w:spacing w:line="360" w:lineRule="auto"/>
              <w:ind w:firstLine="480"/>
              <w:rPr>
                <w:rFonts w:hint="eastAsia" w:ascii="Times New Roman" w:hAnsi="Times New Roman" w:eastAsia="宋体" w:cs="宋体"/>
                <w:caps w:val="0"/>
                <w:spacing w:val="0"/>
                <w:kern w:val="2"/>
                <w:sz w:val="24"/>
                <w:szCs w:val="24"/>
                <w:highlight w:val="none"/>
                <w:lang w:val="en-US" w:eastAsia="zh-CN"/>
              </w:rPr>
            </w:pPr>
            <w:r>
              <w:rPr>
                <w:rFonts w:hint="eastAsia" w:ascii="Times New Roman" w:hAnsi="Times New Roman" w:eastAsia="宋体" w:cs="宋体"/>
                <w:caps w:val="0"/>
                <w:spacing w:val="0"/>
                <w:kern w:val="2"/>
                <w:sz w:val="24"/>
                <w:szCs w:val="24"/>
                <w:highlight w:val="none"/>
              </w:rPr>
              <w:t>本项目建设期为</w:t>
            </w:r>
            <w:r>
              <w:rPr>
                <w:rFonts w:hint="default" w:ascii="Times New Roman" w:hAnsi="Times New Roman" w:eastAsia="宋体" w:cs="宋体"/>
                <w:caps w:val="0"/>
                <w:spacing w:val="0"/>
                <w:kern w:val="2"/>
                <w:sz w:val="24"/>
                <w:szCs w:val="24"/>
                <w:highlight w:val="none"/>
                <w:lang w:val="en-US" w:eastAsia="zh-CN"/>
              </w:rPr>
              <w:t>1</w:t>
            </w:r>
            <w:r>
              <w:rPr>
                <w:rFonts w:hint="eastAsia" w:ascii="Times New Roman" w:hAnsi="Times New Roman" w:eastAsia="宋体" w:cs="宋体"/>
                <w:caps w:val="0"/>
                <w:spacing w:val="0"/>
                <w:kern w:val="2"/>
                <w:sz w:val="24"/>
                <w:szCs w:val="24"/>
                <w:highlight w:val="none"/>
              </w:rPr>
              <w:t>个月，施工工期</w:t>
            </w:r>
            <w:r>
              <w:rPr>
                <w:rFonts w:hint="eastAsia" w:ascii="Times New Roman" w:hAnsi="Times New Roman" w:eastAsia="宋体" w:cs="宋体"/>
                <w:caps w:val="0"/>
                <w:spacing w:val="0"/>
                <w:kern w:val="2"/>
                <w:sz w:val="24"/>
                <w:szCs w:val="24"/>
                <w:highlight w:val="none"/>
                <w:lang w:val="en-US" w:eastAsia="zh-CN"/>
              </w:rPr>
              <w:t>为</w:t>
            </w:r>
            <w:r>
              <w:rPr>
                <w:rFonts w:hint="default" w:ascii="Times New Roman" w:hAnsi="Times New Roman" w:eastAsia="宋体" w:cs="宋体"/>
                <w:caps w:val="0"/>
                <w:spacing w:val="0"/>
                <w:kern w:val="2"/>
                <w:sz w:val="24"/>
                <w:szCs w:val="24"/>
                <w:highlight w:val="none"/>
              </w:rPr>
              <w:t>202</w:t>
            </w:r>
            <w:r>
              <w:rPr>
                <w:rFonts w:hint="eastAsia" w:ascii="Times New Roman" w:hAnsi="Times New Roman" w:eastAsia="宋体" w:cs="宋体"/>
                <w:caps w:val="0"/>
                <w:spacing w:val="0"/>
                <w:kern w:val="2"/>
                <w:sz w:val="24"/>
                <w:szCs w:val="24"/>
                <w:highlight w:val="none"/>
                <w:lang w:val="en-US" w:eastAsia="zh-CN"/>
              </w:rPr>
              <w:t>6</w:t>
            </w:r>
            <w:r>
              <w:rPr>
                <w:rFonts w:hint="eastAsia" w:ascii="Times New Roman" w:hAnsi="Times New Roman" w:eastAsia="宋体" w:cs="宋体"/>
                <w:caps w:val="0"/>
                <w:spacing w:val="0"/>
                <w:kern w:val="2"/>
                <w:sz w:val="24"/>
                <w:szCs w:val="24"/>
                <w:highlight w:val="none"/>
              </w:rPr>
              <w:t>年</w:t>
            </w:r>
            <w:r>
              <w:rPr>
                <w:rFonts w:hint="eastAsia" w:ascii="Times New Roman" w:hAnsi="Times New Roman" w:eastAsia="宋体" w:cs="宋体"/>
                <w:caps w:val="0"/>
                <w:spacing w:val="0"/>
                <w:kern w:val="2"/>
                <w:sz w:val="24"/>
                <w:szCs w:val="24"/>
                <w:highlight w:val="none"/>
                <w:lang w:val="en-US" w:eastAsia="zh-CN"/>
              </w:rPr>
              <w:t>1</w:t>
            </w:r>
            <w:r>
              <w:rPr>
                <w:rFonts w:hint="eastAsia" w:ascii="Times New Roman" w:hAnsi="Times New Roman" w:eastAsia="宋体" w:cs="宋体"/>
                <w:caps w:val="0"/>
                <w:spacing w:val="0"/>
                <w:kern w:val="2"/>
                <w:sz w:val="24"/>
                <w:szCs w:val="24"/>
                <w:highlight w:val="none"/>
              </w:rPr>
              <w:t>月</w:t>
            </w:r>
            <w:r>
              <w:rPr>
                <w:rFonts w:hint="eastAsia" w:ascii="Times New Roman" w:hAnsi="Times New Roman" w:eastAsia="宋体" w:cs="宋体"/>
                <w:caps w:val="0"/>
                <w:spacing w:val="0"/>
                <w:kern w:val="2"/>
                <w:sz w:val="24"/>
                <w:szCs w:val="24"/>
                <w:highlight w:val="none"/>
                <w:lang w:eastAsia="zh-CN"/>
              </w:rPr>
              <w:t>—</w:t>
            </w:r>
            <w:r>
              <w:rPr>
                <w:rFonts w:hint="default" w:ascii="Times New Roman" w:hAnsi="Times New Roman" w:eastAsia="宋体" w:cs="宋体"/>
                <w:caps w:val="0"/>
                <w:spacing w:val="0"/>
                <w:kern w:val="2"/>
                <w:sz w:val="24"/>
                <w:szCs w:val="24"/>
                <w:highlight w:val="none"/>
                <w:lang w:val="en-US" w:eastAsia="zh-CN"/>
              </w:rPr>
              <w:t>202</w:t>
            </w:r>
            <w:r>
              <w:rPr>
                <w:rFonts w:hint="eastAsia" w:ascii="Times New Roman" w:hAnsi="Times New Roman" w:eastAsia="宋体" w:cs="宋体"/>
                <w:caps w:val="0"/>
                <w:spacing w:val="0"/>
                <w:kern w:val="2"/>
                <w:sz w:val="24"/>
                <w:szCs w:val="24"/>
                <w:highlight w:val="none"/>
                <w:lang w:val="en-US" w:eastAsia="zh-CN"/>
              </w:rPr>
              <w:t>6</w:t>
            </w:r>
            <w:r>
              <w:rPr>
                <w:rFonts w:hint="default" w:ascii="Times New Roman" w:hAnsi="Times New Roman" w:eastAsia="宋体" w:cs="宋体"/>
                <w:caps w:val="0"/>
                <w:spacing w:val="0"/>
                <w:kern w:val="2"/>
                <w:sz w:val="24"/>
                <w:szCs w:val="24"/>
                <w:highlight w:val="none"/>
                <w:lang w:val="en-US" w:eastAsia="zh-CN"/>
              </w:rPr>
              <w:t>年2</w:t>
            </w:r>
            <w:r>
              <w:rPr>
                <w:rFonts w:hint="eastAsia" w:ascii="Times New Roman" w:hAnsi="Times New Roman" w:eastAsia="宋体" w:cs="宋体"/>
                <w:caps w:val="0"/>
                <w:spacing w:val="0"/>
                <w:kern w:val="2"/>
                <w:sz w:val="24"/>
                <w:szCs w:val="24"/>
                <w:highlight w:val="none"/>
              </w:rPr>
              <w:t>月。</w:t>
            </w:r>
          </w:p>
          <w:p w14:paraId="6C57A436">
            <w:pPr>
              <w:spacing w:line="360" w:lineRule="auto"/>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8.公用工程</w:t>
            </w:r>
          </w:p>
          <w:p w14:paraId="2DE3B28E">
            <w:pPr>
              <w:spacing w:line="360" w:lineRule="auto"/>
              <w:jc w:val="left"/>
              <w:rPr>
                <w:rFonts w:hint="eastAsia" w:ascii="Times New Roman" w:hAnsi="Times New Roman" w:eastAsia="宋体" w:cs="宋体"/>
                <w:bCs/>
                <w:caps w:val="0"/>
                <w:spacing w:val="0"/>
                <w:sz w:val="24"/>
                <w:szCs w:val="24"/>
                <w:highlight w:val="none"/>
                <w:lang w:val="en-US" w:eastAsia="zh-CN"/>
              </w:rPr>
            </w:pPr>
            <w:r>
              <w:rPr>
                <w:rFonts w:hint="eastAsia" w:ascii="Times New Roman" w:hAnsi="Times New Roman" w:eastAsia="宋体" w:cs="宋体"/>
                <w:bCs/>
                <w:caps w:val="0"/>
                <w:spacing w:val="0"/>
                <w:sz w:val="24"/>
                <w:szCs w:val="24"/>
                <w:highlight w:val="none"/>
                <w:lang w:val="en-US" w:eastAsia="zh-CN"/>
              </w:rPr>
              <w:t>（1）给排水</w:t>
            </w:r>
          </w:p>
          <w:p w14:paraId="0B1FE001">
            <w:pPr>
              <w:keepNext w:val="0"/>
              <w:keepLines w:val="0"/>
              <w:pageBreakBefore w:val="0"/>
              <w:widowControl w:val="0"/>
              <w:tabs>
                <w:tab w:val="left" w:pos="3687"/>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宋体"/>
                <w:b w:val="0"/>
                <w:bCs w:val="0"/>
                <w:caps w:val="0"/>
                <w:spacing w:val="0"/>
                <w:sz w:val="24"/>
                <w:szCs w:val="24"/>
                <w:highlight w:val="none"/>
                <w:lang w:val="en-US" w:eastAsia="zh-CN"/>
              </w:rPr>
            </w:pPr>
            <w:r>
              <w:rPr>
                <w:rFonts w:hint="eastAsia" w:ascii="Times New Roman" w:hAnsi="Times New Roman" w:eastAsia="宋体" w:cs="宋体"/>
                <w:b w:val="0"/>
                <w:bCs w:val="0"/>
                <w:caps w:val="0"/>
                <w:spacing w:val="0"/>
                <w:sz w:val="24"/>
                <w:szCs w:val="24"/>
                <w:highlight w:val="none"/>
                <w:lang w:val="en-US" w:eastAsia="zh-CN"/>
              </w:rPr>
              <w:t>本项目不新增劳动定员，不产生新增生活用水；本项目</w:t>
            </w:r>
            <w:r>
              <w:rPr>
                <w:rFonts w:hint="eastAsia" w:ascii="Times New Roman" w:hAnsi="Times New Roman" w:eastAsia="宋体" w:cs="宋体"/>
                <w:b w:val="0"/>
                <w:bCs w:val="0"/>
                <w:caps w:val="0"/>
                <w:color w:val="auto"/>
                <w:sz w:val="24"/>
                <w:highlight w:val="none"/>
                <w:lang w:val="en-US" w:eastAsia="zh-CN"/>
              </w:rPr>
              <w:t>导热油炉</w:t>
            </w:r>
            <w:r>
              <w:rPr>
                <w:rFonts w:hint="eastAsia" w:ascii="Times New Roman" w:hAnsi="Times New Roman" w:eastAsia="宋体" w:cs="宋体"/>
                <w:b w:val="0"/>
                <w:bCs w:val="0"/>
                <w:caps w:val="0"/>
                <w:spacing w:val="0"/>
                <w:sz w:val="24"/>
                <w:szCs w:val="24"/>
                <w:highlight w:val="none"/>
                <w:lang w:val="en-US" w:eastAsia="zh-CN"/>
              </w:rPr>
              <w:t>导热介质为导热油，不使用水作为导热介质，因此不产生</w:t>
            </w:r>
            <w:r>
              <w:rPr>
                <w:rFonts w:hint="eastAsia" w:ascii="Times New Roman" w:hAnsi="Times New Roman" w:cs="宋体"/>
                <w:b w:val="0"/>
                <w:bCs w:val="0"/>
                <w:caps w:val="0"/>
                <w:spacing w:val="0"/>
                <w:sz w:val="24"/>
                <w:szCs w:val="24"/>
                <w:highlight w:val="none"/>
                <w:lang w:val="en-US" w:eastAsia="zh-CN"/>
              </w:rPr>
              <w:t>生产</w:t>
            </w:r>
            <w:r>
              <w:rPr>
                <w:rFonts w:hint="eastAsia" w:ascii="Times New Roman" w:hAnsi="Times New Roman" w:eastAsia="宋体" w:cs="宋体"/>
                <w:b w:val="0"/>
                <w:bCs w:val="0"/>
                <w:caps w:val="0"/>
                <w:spacing w:val="0"/>
                <w:sz w:val="24"/>
                <w:szCs w:val="24"/>
                <w:highlight w:val="none"/>
                <w:lang w:val="en-US" w:eastAsia="zh-CN"/>
              </w:rPr>
              <w:t>用水。</w:t>
            </w:r>
          </w:p>
          <w:p w14:paraId="357B3089">
            <w:pPr>
              <w:jc w:val="left"/>
              <w:rPr>
                <w:rFonts w:hint="eastAsia" w:ascii="Times New Roman" w:hAnsi="Times New Roman" w:eastAsia="宋体" w:cs="宋体"/>
                <w:caps w:val="0"/>
                <w:color w:val="auto"/>
                <w:spacing w:val="0"/>
                <w:sz w:val="24"/>
                <w:szCs w:val="24"/>
                <w:highlight w:val="none"/>
              </w:rPr>
            </w:pPr>
            <w:r>
              <w:rPr>
                <w:rFonts w:hint="eastAsia" w:ascii="Times New Roman" w:hAnsi="Times New Roman" w:eastAsia="宋体" w:cs="宋体"/>
                <w:caps w:val="0"/>
                <w:color w:val="auto"/>
                <w:spacing w:val="0"/>
                <w:sz w:val="24"/>
                <w:szCs w:val="24"/>
                <w:highlight w:val="none"/>
                <w:lang w:val="en-US" w:eastAsia="zh-CN"/>
              </w:rPr>
              <w:t>（2）</w:t>
            </w:r>
            <w:r>
              <w:rPr>
                <w:rFonts w:hint="eastAsia" w:ascii="Times New Roman" w:hAnsi="Times New Roman" w:eastAsia="宋体" w:cs="宋体"/>
                <w:caps w:val="0"/>
                <w:color w:val="auto"/>
                <w:spacing w:val="0"/>
                <w:sz w:val="24"/>
                <w:szCs w:val="24"/>
                <w:highlight w:val="none"/>
              </w:rPr>
              <w:t>供电</w:t>
            </w:r>
          </w:p>
          <w:p w14:paraId="2BB6CA96">
            <w:pPr>
              <w:jc w:val="left"/>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color w:val="auto"/>
                <w:spacing w:val="0"/>
                <w:sz w:val="24"/>
                <w:szCs w:val="24"/>
                <w:highlight w:val="none"/>
              </w:rPr>
              <w:t>本项目用电由</w:t>
            </w:r>
            <w:r>
              <w:rPr>
                <w:rFonts w:hint="eastAsia" w:ascii="Times New Roman" w:hAnsi="Times New Roman" w:eastAsia="宋体" w:cs="宋体"/>
                <w:caps w:val="0"/>
                <w:snapToGrid w:val="0"/>
                <w:color w:val="auto"/>
                <w:spacing w:val="0"/>
                <w:sz w:val="24"/>
                <w:szCs w:val="24"/>
                <w:highlight w:val="none"/>
              </w:rPr>
              <w:t>市政供</w:t>
            </w:r>
            <w:r>
              <w:rPr>
                <w:rFonts w:hint="eastAsia" w:ascii="Times New Roman" w:hAnsi="Times New Roman" w:eastAsia="宋体" w:cs="宋体"/>
                <w:caps w:val="0"/>
                <w:snapToGrid w:val="0"/>
                <w:spacing w:val="0"/>
                <w:sz w:val="24"/>
                <w:szCs w:val="24"/>
                <w:highlight w:val="none"/>
              </w:rPr>
              <w:t>电管网</w:t>
            </w:r>
            <w:r>
              <w:rPr>
                <w:rFonts w:hint="eastAsia" w:ascii="Times New Roman" w:hAnsi="Times New Roman" w:eastAsia="宋体" w:cs="宋体"/>
                <w:caps w:val="0"/>
                <w:spacing w:val="0"/>
                <w:sz w:val="24"/>
                <w:szCs w:val="24"/>
                <w:highlight w:val="none"/>
              </w:rPr>
              <w:t>统一提供。</w:t>
            </w:r>
          </w:p>
          <w:p w14:paraId="3BBB57D1">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9.厂区平面布置</w:t>
            </w:r>
          </w:p>
          <w:p w14:paraId="4A129615">
            <w:pPr>
              <w:shd w:val="clear" w:color="auto" w:fill="auto"/>
              <w:rPr>
                <w:rFonts w:hint="eastAsia" w:ascii="Times New Roman" w:hAnsi="Times New Roman" w:eastAsia="宋体" w:cs="宋体"/>
                <w:caps w:val="0"/>
                <w:color w:val="FF0000"/>
                <w:spacing w:val="0"/>
                <w:highlight w:val="none"/>
              </w:rPr>
            </w:pPr>
            <w:r>
              <w:rPr>
                <w:rFonts w:hint="eastAsia" w:ascii="Times New Roman" w:hAnsi="Times New Roman" w:eastAsia="宋体" w:cs="宋体"/>
                <w:bCs/>
                <w:caps w:val="0"/>
                <w:spacing w:val="0"/>
                <w:kern w:val="0"/>
                <w:sz w:val="24"/>
                <w:szCs w:val="24"/>
                <w:highlight w:val="none"/>
                <w:lang w:val="en-US" w:eastAsia="zh-CN" w:bidi="ar-SA"/>
              </w:rPr>
              <w:t>本项目使用厂房为</w:t>
            </w:r>
            <w:r>
              <w:rPr>
                <w:rFonts w:hint="eastAsia" w:ascii="Times New Roman" w:hAnsi="Times New Roman" w:eastAsia="宋体" w:cs="宋体"/>
                <w:bCs/>
                <w:caps w:val="0"/>
                <w:spacing w:val="0"/>
                <w:sz w:val="24"/>
                <w:szCs w:val="24"/>
                <w:highlight w:val="none"/>
                <w:shd w:val="clear"/>
                <w:lang w:eastAsia="zh-CN"/>
              </w:rPr>
              <w:t>燎盛新材料</w:t>
            </w:r>
            <w:r>
              <w:rPr>
                <w:rFonts w:hint="eastAsia" w:ascii="Times New Roman" w:hAnsi="Times New Roman" w:eastAsia="宋体" w:cs="宋体"/>
                <w:bCs/>
                <w:caps w:val="0"/>
                <w:spacing w:val="0"/>
                <w:sz w:val="24"/>
                <w:szCs w:val="24"/>
                <w:highlight w:val="none"/>
                <w:shd w:val="clear"/>
                <w:lang w:val="en-US" w:eastAsia="zh-CN"/>
              </w:rPr>
              <w:t>现有厂区内进行改造，</w:t>
            </w:r>
            <w:r>
              <w:rPr>
                <w:rFonts w:hint="eastAsia" w:ascii="Times New Roman" w:hAnsi="Times New Roman" w:eastAsia="宋体" w:cs="宋体"/>
                <w:bCs/>
                <w:caps w:val="0"/>
                <w:spacing w:val="0"/>
                <w:kern w:val="0"/>
                <w:sz w:val="24"/>
                <w:szCs w:val="24"/>
                <w:highlight w:val="none"/>
                <w:lang w:val="en-US" w:eastAsia="zh-CN" w:bidi="ar-SA"/>
              </w:rPr>
              <w:t>锅炉房均位于生产车间，不对原有生产车间及布局进行改变，只改造</w:t>
            </w:r>
            <w:r>
              <w:rPr>
                <w:rFonts w:hint="eastAsia" w:ascii="Times New Roman" w:hAnsi="Times New Roman" w:cs="宋体"/>
                <w:caps w:val="0"/>
                <w:color w:val="000000"/>
                <w:spacing w:val="0"/>
                <w:sz w:val="24"/>
                <w:highlight w:val="none"/>
                <w:lang w:val="en-US" w:eastAsia="zh-CN"/>
              </w:rPr>
              <w:t>导热油炉</w:t>
            </w:r>
            <w:r>
              <w:rPr>
                <w:rFonts w:hint="eastAsia" w:ascii="Times New Roman" w:hAnsi="Times New Roman" w:eastAsia="宋体" w:cs="宋体"/>
                <w:bCs/>
                <w:caps w:val="0"/>
                <w:spacing w:val="0"/>
                <w:kern w:val="0"/>
                <w:sz w:val="24"/>
                <w:szCs w:val="24"/>
                <w:highlight w:val="none"/>
                <w:lang w:val="en-US" w:eastAsia="zh-CN" w:bidi="ar-SA"/>
              </w:rPr>
              <w:t>及环保措施</w:t>
            </w:r>
            <w:r>
              <w:rPr>
                <w:rFonts w:hint="eastAsia" w:ascii="Times New Roman" w:hAnsi="Times New Roman" w:eastAsia="宋体" w:cs="宋体"/>
                <w:caps w:val="0"/>
                <w:spacing w:val="0"/>
                <w:sz w:val="24"/>
                <w:szCs w:val="24"/>
                <w:highlight w:val="none"/>
                <w:lang w:val="en-US" w:eastAsia="zh-CN"/>
              </w:rPr>
              <w:t>。</w:t>
            </w:r>
            <w:r>
              <w:rPr>
                <w:rFonts w:hint="eastAsia" w:ascii="Times New Roman" w:hAnsi="Times New Roman" w:eastAsia="宋体" w:cs="宋体"/>
                <w:caps w:val="0"/>
                <w:snapToGrid w:val="0"/>
                <w:spacing w:val="0"/>
                <w:sz w:val="24"/>
                <w:szCs w:val="24"/>
                <w:highlight w:val="none"/>
                <w:lang w:val="en-US" w:eastAsia="zh-CN"/>
              </w:rPr>
              <w:t>本项目</w:t>
            </w:r>
            <w:r>
              <w:rPr>
                <w:rFonts w:hint="eastAsia" w:ascii="Times New Roman" w:hAnsi="Times New Roman" w:cs="宋体"/>
                <w:caps w:val="0"/>
                <w:color w:val="000000"/>
                <w:spacing w:val="0"/>
                <w:sz w:val="24"/>
                <w:highlight w:val="none"/>
                <w:lang w:val="en-US" w:eastAsia="zh-CN"/>
              </w:rPr>
              <w:t>导热油炉</w:t>
            </w:r>
            <w:r>
              <w:rPr>
                <w:rFonts w:hint="eastAsia" w:ascii="Times New Roman" w:hAnsi="Times New Roman" w:eastAsia="宋体" w:cs="宋体"/>
                <w:caps w:val="0"/>
                <w:snapToGrid w:val="0"/>
                <w:spacing w:val="0"/>
                <w:sz w:val="24"/>
                <w:szCs w:val="24"/>
                <w:highlight w:val="none"/>
                <w:lang w:val="en-US" w:eastAsia="zh-CN"/>
              </w:rPr>
              <w:t>工作时长为</w:t>
            </w:r>
            <w:r>
              <w:rPr>
                <w:rFonts w:hint="default" w:ascii="Times New Roman" w:hAnsi="Times New Roman" w:eastAsia="宋体" w:cs="宋体"/>
                <w:caps w:val="0"/>
                <w:snapToGrid w:val="0"/>
                <w:spacing w:val="0"/>
                <w:sz w:val="24"/>
                <w:szCs w:val="24"/>
                <w:highlight w:val="none"/>
                <w:lang w:val="en-US" w:eastAsia="zh-CN"/>
              </w:rPr>
              <w:t>2</w:t>
            </w:r>
            <w:r>
              <w:rPr>
                <w:rFonts w:hint="eastAsia" w:ascii="Times New Roman" w:hAnsi="Times New Roman" w:eastAsia="宋体" w:cs="宋体"/>
                <w:caps w:val="0"/>
                <w:snapToGrid w:val="0"/>
                <w:spacing w:val="0"/>
                <w:sz w:val="24"/>
                <w:szCs w:val="24"/>
                <w:highlight w:val="none"/>
                <w:lang w:val="en-US" w:eastAsia="zh-CN"/>
              </w:rPr>
              <w:t>0</w:t>
            </w:r>
            <w:r>
              <w:rPr>
                <w:rFonts w:hint="default" w:ascii="Times New Roman" w:hAnsi="Times New Roman" w:eastAsia="宋体" w:cs="宋体"/>
                <w:caps w:val="0"/>
                <w:snapToGrid w:val="0"/>
                <w:spacing w:val="0"/>
                <w:sz w:val="24"/>
                <w:szCs w:val="24"/>
                <w:highlight w:val="none"/>
                <w:lang w:val="en-US" w:eastAsia="zh-CN"/>
              </w:rPr>
              <w:t>h</w:t>
            </w:r>
            <w:r>
              <w:rPr>
                <w:rFonts w:hint="eastAsia" w:ascii="Times New Roman" w:hAnsi="Times New Roman" w:cs="宋体"/>
                <w:caps w:val="0"/>
                <w:snapToGrid w:val="0"/>
                <w:spacing w:val="0"/>
                <w:sz w:val="24"/>
                <w:szCs w:val="24"/>
                <w:highlight w:val="none"/>
                <w:lang w:val="en-US" w:eastAsia="zh-CN"/>
              </w:rPr>
              <w:t>/d</w:t>
            </w:r>
            <w:r>
              <w:rPr>
                <w:rFonts w:hint="eastAsia" w:ascii="Times New Roman" w:hAnsi="Times New Roman" w:eastAsia="宋体" w:cs="宋体"/>
                <w:caps w:val="0"/>
                <w:snapToGrid w:val="0"/>
                <w:spacing w:val="0"/>
                <w:sz w:val="24"/>
                <w:szCs w:val="24"/>
                <w:highlight w:val="none"/>
                <w:lang w:val="en-US" w:eastAsia="zh-CN"/>
              </w:rPr>
              <w:t>，年生产300天。</w:t>
            </w:r>
            <w:r>
              <w:rPr>
                <w:rFonts w:hint="eastAsia" w:ascii="Times New Roman" w:hAnsi="Times New Roman" w:eastAsia="宋体" w:cs="宋体"/>
                <w:caps w:val="0"/>
                <w:spacing w:val="0"/>
                <w:sz w:val="24"/>
                <w:szCs w:val="24"/>
                <w:highlight w:val="none"/>
              </w:rPr>
              <w:t>从总平面布置上来看，该项目功能区划分比较明确，</w:t>
            </w:r>
            <w:r>
              <w:rPr>
                <w:rFonts w:hint="eastAsia" w:ascii="Times New Roman" w:hAnsi="Times New Roman" w:eastAsia="宋体" w:cs="宋体"/>
                <w:caps w:val="0"/>
                <w:spacing w:val="0"/>
                <w:sz w:val="24"/>
                <w:szCs w:val="24"/>
                <w:highlight w:val="none"/>
                <w:lang w:val="en-US" w:eastAsia="zh-CN"/>
              </w:rPr>
              <w:t>车间</w:t>
            </w:r>
            <w:r>
              <w:rPr>
                <w:rFonts w:hint="eastAsia" w:ascii="Times New Roman" w:hAnsi="Times New Roman" w:eastAsia="宋体" w:cs="宋体"/>
                <w:caps w:val="0"/>
                <w:spacing w:val="0"/>
                <w:sz w:val="24"/>
                <w:szCs w:val="24"/>
                <w:highlight w:val="none"/>
              </w:rPr>
              <w:t>布置合理</w:t>
            </w:r>
            <w:r>
              <w:rPr>
                <w:rFonts w:hint="eastAsia" w:ascii="Times New Roman" w:hAnsi="Times New Roman" w:eastAsia="宋体" w:cs="宋体"/>
                <w:bCs/>
                <w:caps w:val="0"/>
                <w:spacing w:val="0"/>
                <w:kern w:val="0"/>
                <w:sz w:val="24"/>
                <w:szCs w:val="24"/>
                <w:highlight w:val="none"/>
                <w:lang w:val="en-US" w:eastAsia="zh-CN" w:bidi="ar-SA"/>
              </w:rPr>
              <w:t>。平面布置见附图</w:t>
            </w:r>
            <w:r>
              <w:rPr>
                <w:rFonts w:hint="default" w:ascii="Times New Roman" w:hAnsi="Times New Roman" w:eastAsia="宋体" w:cs="宋体"/>
                <w:bCs/>
                <w:caps w:val="0"/>
                <w:spacing w:val="0"/>
                <w:kern w:val="0"/>
                <w:sz w:val="24"/>
                <w:szCs w:val="24"/>
                <w:highlight w:val="none"/>
                <w:lang w:val="en-US" w:eastAsia="zh-CN" w:bidi="ar-SA"/>
              </w:rPr>
              <w:t>2</w:t>
            </w:r>
            <w:r>
              <w:rPr>
                <w:rFonts w:hint="eastAsia" w:ascii="Times New Roman" w:hAnsi="Times New Roman" w:eastAsia="宋体" w:cs="宋体"/>
                <w:bCs/>
                <w:caps w:val="0"/>
                <w:spacing w:val="0"/>
                <w:kern w:val="0"/>
                <w:sz w:val="24"/>
                <w:szCs w:val="24"/>
                <w:highlight w:val="none"/>
                <w:lang w:val="en-US" w:eastAsia="zh-CN" w:bidi="ar-SA"/>
              </w:rPr>
              <w:t>。</w:t>
            </w:r>
          </w:p>
        </w:tc>
      </w:tr>
      <w:tr w14:paraId="7C0032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5" w:type="dxa"/>
            <w:noWrap w:val="0"/>
            <w:vAlign w:val="center"/>
          </w:tcPr>
          <w:p w14:paraId="469CF205">
            <w:pPr>
              <w:pStyle w:val="32"/>
              <w:spacing w:before="0" w:beforeAutospacing="0" w:after="0" w:afterAutospacing="0" w:line="240" w:lineRule="auto"/>
              <w:ind w:firstLine="0" w:firstLineChars="0"/>
              <w:jc w:val="center"/>
              <w:rPr>
                <w:rFonts w:hint="eastAsia" w:ascii="Times New Roman" w:hAnsi="Times New Roman" w:eastAsia="宋体" w:cs="宋体"/>
                <w:bCs/>
                <w:caps w:val="0"/>
                <w:color w:val="FF0000"/>
                <w:spacing w:val="0"/>
                <w:highlight w:val="none"/>
              </w:rPr>
            </w:pPr>
            <w:r>
              <w:rPr>
                <w:rFonts w:hint="eastAsia" w:ascii="Times New Roman" w:hAnsi="Times New Roman" w:eastAsia="宋体" w:cs="宋体"/>
                <w:bCs/>
                <w:caps w:val="0"/>
                <w:spacing w:val="0"/>
                <w:highlight w:val="none"/>
              </w:rPr>
              <w:t>工艺流程和产排污环节</w:t>
            </w:r>
          </w:p>
        </w:tc>
        <w:tc>
          <w:tcPr>
            <w:tcW w:w="7987" w:type="dxa"/>
            <w:noWrap w:val="0"/>
            <w:vAlign w:val="top"/>
          </w:tcPr>
          <w:p w14:paraId="79350F02">
            <w:pPr>
              <w:tabs>
                <w:tab w:val="left" w:pos="870"/>
              </w:tabs>
              <w:spacing w:line="360" w:lineRule="auto"/>
              <w:ind w:firstLine="0" w:firstLineChars="0"/>
              <w:rPr>
                <w:rFonts w:hint="eastAsia" w:ascii="Times New Roman" w:hAnsi="Times New Roman" w:eastAsia="宋体" w:cs="宋体"/>
                <w:b/>
                <w:bCs w:val="0"/>
                <w:caps w:val="0"/>
                <w:color w:val="auto"/>
                <w:spacing w:val="0"/>
                <w:sz w:val="24"/>
                <w:highlight w:val="none"/>
              </w:rPr>
            </w:pPr>
            <w:r>
              <w:rPr>
                <w:rFonts w:hint="eastAsia" w:ascii="Times New Roman" w:hAnsi="Times New Roman" w:eastAsia="宋体" w:cs="宋体"/>
                <w:b/>
                <w:bCs w:val="0"/>
                <w:caps w:val="0"/>
                <w:color w:val="auto"/>
                <w:spacing w:val="0"/>
                <w:sz w:val="24"/>
                <w:highlight w:val="none"/>
              </w:rPr>
              <w:t>一、施工期工程分析</w:t>
            </w:r>
          </w:p>
          <w:p w14:paraId="40B2214F">
            <w:pPr>
              <w:tabs>
                <w:tab w:val="left" w:pos="870"/>
              </w:tabs>
              <w:spacing w:line="360" w:lineRule="auto"/>
              <w:ind w:firstLine="480" w:firstLineChars="200"/>
              <w:rPr>
                <w:rFonts w:hint="eastAsia" w:ascii="Times New Roman" w:hAnsi="Times New Roman" w:eastAsia="宋体" w:cs="宋体"/>
                <w:b w:val="0"/>
                <w:bCs/>
                <w:caps w:val="0"/>
                <w:color w:val="auto"/>
                <w:spacing w:val="0"/>
                <w:sz w:val="24"/>
                <w:highlight w:val="none"/>
                <w:lang w:val="en-US" w:eastAsia="zh-CN"/>
              </w:rPr>
            </w:pPr>
            <w:r>
              <w:rPr>
                <w:rFonts w:hint="eastAsia" w:ascii="Times New Roman" w:hAnsi="Times New Roman" w:eastAsia="宋体" w:cs="宋体"/>
                <w:b w:val="0"/>
                <w:bCs/>
                <w:caps w:val="0"/>
                <w:color w:val="auto"/>
                <w:spacing w:val="0"/>
                <w:sz w:val="24"/>
                <w:highlight w:val="none"/>
                <w:lang w:val="en-US" w:eastAsia="zh-CN"/>
              </w:rPr>
              <w:t>本项目在现有锅炉房内进行建设，施工期仅为改造锅炉和安装燃油</w:t>
            </w:r>
            <w:r>
              <w:rPr>
                <w:rFonts w:hint="eastAsia" w:ascii="Times New Roman" w:hAnsi="Times New Roman" w:eastAsia="宋体" w:cs="宋体"/>
                <w:b w:val="0"/>
                <w:bCs w:val="0"/>
                <w:caps w:val="0"/>
                <w:color w:val="auto"/>
                <w:sz w:val="24"/>
                <w:highlight w:val="none"/>
                <w:lang w:val="en-US" w:eastAsia="zh-CN"/>
              </w:rPr>
              <w:t>导热油炉</w:t>
            </w:r>
            <w:r>
              <w:rPr>
                <w:rFonts w:hint="eastAsia" w:ascii="Times New Roman" w:hAnsi="Times New Roman" w:eastAsia="宋体" w:cs="宋体"/>
                <w:b w:val="0"/>
                <w:bCs/>
                <w:caps w:val="0"/>
                <w:color w:val="auto"/>
                <w:spacing w:val="0"/>
                <w:sz w:val="24"/>
                <w:highlight w:val="none"/>
                <w:lang w:val="en-US" w:eastAsia="zh-CN"/>
              </w:rPr>
              <w:t>及配套环保措施，</w:t>
            </w:r>
            <w:r>
              <w:rPr>
                <w:rFonts w:hint="eastAsia" w:ascii="Times New Roman" w:hAnsi="Times New Roman" w:cs="宋体"/>
                <w:b w:val="0"/>
                <w:bCs/>
                <w:caps w:val="0"/>
                <w:color w:val="auto"/>
                <w:spacing w:val="0"/>
                <w:sz w:val="24"/>
                <w:highlight w:val="none"/>
                <w:lang w:val="en-US" w:eastAsia="zh-CN"/>
              </w:rPr>
              <w:t>新增储罐及事故池</w:t>
            </w:r>
            <w:r>
              <w:rPr>
                <w:rFonts w:hint="eastAsia" w:ascii="Times New Roman" w:hAnsi="Times New Roman" w:eastAsia="宋体" w:cs="宋体"/>
                <w:b w:val="0"/>
                <w:bCs/>
                <w:caps w:val="0"/>
                <w:color w:val="auto"/>
                <w:spacing w:val="0"/>
                <w:sz w:val="24"/>
                <w:highlight w:val="none"/>
                <w:lang w:val="en-US" w:eastAsia="zh-CN"/>
              </w:rPr>
              <w:t>。</w:t>
            </w:r>
          </w:p>
          <w:p w14:paraId="44B23A11">
            <w:pPr>
              <w:pStyle w:val="2"/>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highlight w:val="none"/>
                <w:lang w:val="en-US" w:eastAsia="zh-CN"/>
              </w:rPr>
            </w:pPr>
            <w:r>
              <w:rPr>
                <w:rFonts w:hint="eastAsia" w:ascii="Times New Roman" w:hAnsi="Times New Roman" w:eastAsia="宋体" w:cs="宋体"/>
                <w:b/>
                <w:caps w:val="0"/>
                <w:color w:val="000000" w:themeColor="text1"/>
                <w:sz w:val="24"/>
                <w:highlight w:val="none"/>
                <w:lang w:val="en-US" w:eastAsia="zh-CN"/>
                <w14:textFill>
                  <w14:solidFill>
                    <w14:schemeClr w14:val="tx1"/>
                  </w14:solidFill>
                </w14:textFill>
              </w:rPr>
              <w:object>
                <v:shape id="_x0000_i1025" o:spt="75" type="#_x0000_t75" style="height:72.75pt;width:407.1pt;" o:ole="t" filled="f" o:preferrelative="t" stroked="f" coordsize="21600,21600">
                  <v:path/>
                  <v:fill on="f" focussize="0,0"/>
                  <v:stroke on="f"/>
                  <v:imagedata r:id="rId20" o:title=""/>
                  <o:lock v:ext="edit" aspectratio="f"/>
                  <w10:wrap type="none"/>
                  <w10:anchorlock/>
                </v:shape>
                <o:OLEObject Type="Embed" ProgID="Visio.Drawing.15" ShapeID="_x0000_i1025" DrawAspect="Content" ObjectID="_1468075725" r:id="rId19">
                  <o:LockedField>false</o:LockedField>
                </o:OLEObject>
              </w:object>
            </w:r>
            <w:r>
              <w:rPr>
                <w:rFonts w:hint="eastAsia" w:cs="宋体"/>
                <w:b/>
                <w:caps w:val="0"/>
                <w:color w:val="000000" w:themeColor="text1"/>
                <w:sz w:val="24"/>
                <w:highlight w:val="none"/>
                <w:lang w:val="en-US" w:eastAsia="zh-CN"/>
                <w14:textFill>
                  <w14:solidFill>
                    <w14:schemeClr w14:val="tx1"/>
                  </w14:solidFill>
                </w14:textFill>
              </w:rPr>
              <w:t>图2-1 施工期工艺流程及产排污环节</w:t>
            </w:r>
          </w:p>
          <w:p w14:paraId="1CA0E347">
            <w:pPr>
              <w:tabs>
                <w:tab w:val="left" w:pos="870"/>
              </w:tabs>
              <w:spacing w:line="360" w:lineRule="auto"/>
              <w:ind w:firstLine="0" w:firstLineChars="0"/>
              <w:rPr>
                <w:rFonts w:hint="eastAsia" w:ascii="Times New Roman" w:hAnsi="Times New Roman" w:eastAsia="宋体" w:cs="宋体"/>
                <w:b/>
                <w:bCs w:val="0"/>
                <w:caps w:val="0"/>
                <w:color w:val="auto"/>
                <w:spacing w:val="0"/>
                <w:sz w:val="24"/>
                <w:highlight w:val="none"/>
                <w:lang w:val="en-US" w:eastAsia="zh-CN"/>
              </w:rPr>
            </w:pPr>
            <w:r>
              <w:rPr>
                <w:rFonts w:hint="eastAsia" w:ascii="Times New Roman" w:hAnsi="Times New Roman" w:eastAsia="宋体" w:cs="宋体"/>
                <w:b/>
                <w:bCs w:val="0"/>
                <w:caps w:val="0"/>
                <w:color w:val="auto"/>
                <w:spacing w:val="0"/>
                <w:sz w:val="24"/>
                <w:highlight w:val="none"/>
                <w:lang w:val="en-US" w:eastAsia="zh-CN"/>
              </w:rPr>
              <w:t>二、运营期工艺流程</w:t>
            </w:r>
          </w:p>
          <w:p w14:paraId="333EBB94">
            <w:pPr>
              <w:ind w:left="0" w:leftChars="0" w:firstLine="0" w:firstLineChars="0"/>
              <w:jc w:val="center"/>
              <w:rPr>
                <w:rFonts w:hint="default"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object>
                <v:shape id="_x0000_i1026" o:spt="75" type="#_x0000_t75" style="height:286.35pt;width:396.65pt;" o:ole="t" filled="f" o:preferrelative="t" stroked="f" coordsize="21600,21600">
                  <v:path/>
                  <v:fill on="f" focussize="0,0"/>
                  <v:stroke on="f"/>
                  <v:imagedata r:id="rId22" o:title=""/>
                  <o:lock v:ext="edit" aspectratio="f"/>
                  <w10:wrap type="none"/>
                  <w10:anchorlock/>
                </v:shape>
                <o:OLEObject Type="Embed" ProgID="Visio.Drawing.15" ShapeID="_x0000_i1026" DrawAspect="Content" ObjectID="_1468075726" r:id="rId21">
                  <o:LockedField>false</o:LockedField>
                </o:OLEObject>
              </w:object>
            </w:r>
            <w:r>
              <w:rPr>
                <w:rFonts w:hint="eastAsia" w:ascii="Times New Roman" w:hAnsi="Times New Roman" w:eastAsia="宋体" w:cs="宋体"/>
                <w:b/>
                <w:bCs w:val="0"/>
                <w:caps w:val="0"/>
                <w:spacing w:val="0"/>
                <w:sz w:val="21"/>
                <w:szCs w:val="21"/>
                <w:highlight w:val="none"/>
                <w:lang w:val="en-US" w:eastAsia="zh-CN"/>
              </w:rPr>
              <w:t>图</w:t>
            </w:r>
            <w:r>
              <w:rPr>
                <w:rFonts w:hint="default" w:ascii="Times New Roman" w:hAnsi="Times New Roman" w:eastAsia="宋体" w:cs="宋体"/>
                <w:b/>
                <w:bCs w:val="0"/>
                <w:caps w:val="0"/>
                <w:spacing w:val="0"/>
                <w:sz w:val="21"/>
                <w:szCs w:val="21"/>
                <w:highlight w:val="none"/>
                <w:lang w:val="en-US" w:eastAsia="zh-CN"/>
              </w:rPr>
              <w:t>2-</w:t>
            </w:r>
            <w:r>
              <w:rPr>
                <w:rFonts w:hint="eastAsia" w:ascii="Times New Roman" w:hAnsi="Times New Roman" w:cs="宋体"/>
                <w:b/>
                <w:bCs w:val="0"/>
                <w:caps w:val="0"/>
                <w:spacing w:val="0"/>
                <w:sz w:val="21"/>
                <w:szCs w:val="21"/>
                <w:highlight w:val="none"/>
                <w:lang w:val="en-US" w:eastAsia="zh-CN"/>
              </w:rPr>
              <w:t>2</w:t>
            </w:r>
            <w:r>
              <w:rPr>
                <w:rFonts w:hint="eastAsia" w:ascii="Times New Roman" w:hAnsi="Times New Roman" w:eastAsia="宋体" w:cs="宋体"/>
                <w:b/>
                <w:bCs w:val="0"/>
                <w:caps w:val="0"/>
                <w:spacing w:val="0"/>
                <w:sz w:val="21"/>
                <w:szCs w:val="21"/>
                <w:highlight w:val="none"/>
                <w:lang w:val="en-US" w:eastAsia="zh-CN"/>
              </w:rPr>
              <w:t xml:space="preserve"> </w:t>
            </w:r>
            <w:r>
              <w:rPr>
                <w:rFonts w:hint="eastAsia" w:ascii="Times New Roman" w:hAnsi="Times New Roman" w:cs="宋体"/>
                <w:b/>
                <w:bCs w:val="0"/>
                <w:caps w:val="0"/>
                <w:spacing w:val="0"/>
                <w:sz w:val="21"/>
                <w:szCs w:val="21"/>
                <w:highlight w:val="none"/>
                <w:lang w:val="en-US" w:eastAsia="zh-CN"/>
              </w:rPr>
              <w:t>导热油炉</w:t>
            </w:r>
            <w:r>
              <w:rPr>
                <w:rFonts w:hint="eastAsia" w:ascii="Times New Roman" w:hAnsi="Times New Roman" w:eastAsia="宋体" w:cs="宋体"/>
                <w:b/>
                <w:bCs w:val="0"/>
                <w:caps w:val="0"/>
                <w:spacing w:val="0"/>
                <w:sz w:val="21"/>
                <w:szCs w:val="21"/>
                <w:highlight w:val="none"/>
                <w:lang w:val="en-US" w:eastAsia="zh-CN"/>
              </w:rPr>
              <w:t>运行工艺流程图</w:t>
            </w:r>
          </w:p>
          <w:p w14:paraId="17A6425A">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三、营运期的主要污染源</w:t>
            </w:r>
          </w:p>
          <w:p w14:paraId="6FA7996C">
            <w:pPr>
              <w:keepNext w:val="0"/>
              <w:keepLines w:val="0"/>
              <w:pageBreakBefore w:val="0"/>
              <w:widowControl/>
              <w:kinsoku/>
              <w:wordWrap/>
              <w:overflowPunct/>
              <w:topLinePunct w:val="0"/>
              <w:autoSpaceDE/>
              <w:autoSpaceDN/>
              <w:bidi w:val="0"/>
              <w:adjustRightInd w:val="0"/>
              <w:snapToGrid w:val="0"/>
              <w:jc w:val="left"/>
              <w:textAlignment w:val="auto"/>
              <w:rPr>
                <w:rFonts w:hint="eastAsia" w:ascii="Times New Roman" w:hAnsi="Times New Roman" w:eastAsia="宋体" w:cs="宋体"/>
                <w:caps w:val="0"/>
                <w:spacing w:val="0"/>
                <w:kern w:val="0"/>
                <w:sz w:val="24"/>
                <w:szCs w:val="24"/>
                <w:highlight w:val="none"/>
                <w:lang w:bidi="ar"/>
              </w:rPr>
            </w:pPr>
            <w:r>
              <w:rPr>
                <w:rFonts w:hint="eastAsia" w:ascii="Times New Roman" w:hAnsi="Times New Roman" w:eastAsia="宋体" w:cs="宋体"/>
                <w:caps w:val="0"/>
                <w:spacing w:val="0"/>
                <w:kern w:val="0"/>
                <w:sz w:val="24"/>
                <w:szCs w:val="24"/>
                <w:highlight w:val="none"/>
                <w:lang w:bidi="ar"/>
              </w:rPr>
              <w:t>主要产污环节如下</w:t>
            </w:r>
          </w:p>
          <w:p w14:paraId="3C5E629D">
            <w:pPr>
              <w:pStyle w:val="5"/>
              <w:keepNext w:val="0"/>
              <w:keepLines w:val="0"/>
              <w:pageBreakBefore w:val="0"/>
              <w:widowControl/>
              <w:kinsoku/>
              <w:wordWrap/>
              <w:overflowPunct/>
              <w:topLinePunct w:val="0"/>
              <w:autoSpaceDE/>
              <w:autoSpaceDN/>
              <w:bidi w:val="0"/>
              <w:adjustRightInd w:val="0"/>
              <w:snapToGrid w:val="0"/>
              <w:spacing w:before="0" w:after="0" w:line="360" w:lineRule="auto"/>
              <w:ind w:right="0"/>
              <w:textAlignment w:val="auto"/>
              <w:rPr>
                <w:rFonts w:hint="default" w:ascii="Times New Roman" w:hAnsi="Times New Roman" w:eastAsia="宋体" w:cs="宋体"/>
                <w:caps w:val="0"/>
                <w:spacing w:val="0"/>
                <w:kern w:val="0"/>
                <w:highlight w:val="none"/>
                <w:lang w:val="en-US" w:eastAsia="zh-CN" w:bidi="ar"/>
              </w:rPr>
            </w:pPr>
            <w:r>
              <w:rPr>
                <w:rFonts w:hint="eastAsia" w:ascii="Times New Roman" w:hAnsi="Times New Roman" w:eastAsia="宋体" w:cs="宋体"/>
                <w:caps w:val="0"/>
                <w:spacing w:val="0"/>
                <w:kern w:val="0"/>
                <w:sz w:val="24"/>
                <w:szCs w:val="24"/>
                <w:highlight w:val="none"/>
                <w:lang w:val="en-US" w:eastAsia="zh-CN" w:bidi="ar"/>
              </w:rPr>
              <w:t>废气：本项目</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spacing w:val="0"/>
                <w:kern w:val="0"/>
                <w:sz w:val="24"/>
                <w:szCs w:val="24"/>
                <w:highlight w:val="none"/>
                <w:lang w:val="en-US" w:eastAsia="zh-CN" w:bidi="ar"/>
              </w:rPr>
              <w:t>运转产生的废气。主要为颗粒物、二氧化硫、氮氧化物、烟气黑度</w:t>
            </w:r>
          </w:p>
          <w:p w14:paraId="3E2F8C6C">
            <w:pPr>
              <w:keepNext w:val="0"/>
              <w:keepLines w:val="0"/>
              <w:pageBreakBefore w:val="0"/>
              <w:widowControl/>
              <w:kinsoku/>
              <w:wordWrap/>
              <w:overflowPunct/>
              <w:topLinePunct w:val="0"/>
              <w:autoSpaceDE/>
              <w:autoSpaceDN/>
              <w:bidi w:val="0"/>
              <w:adjustRightInd w:val="0"/>
              <w:snapToGrid w:val="0"/>
              <w:jc w:val="left"/>
              <w:textAlignment w:val="auto"/>
              <w:rPr>
                <w:rFonts w:hint="eastAsia" w:ascii="Times New Roman" w:hAnsi="Times New Roman" w:eastAsia="宋体" w:cs="宋体"/>
                <w:caps w:val="0"/>
                <w:spacing w:val="0"/>
                <w:kern w:val="0"/>
                <w:highlight w:val="none"/>
                <w:lang w:val="en-US" w:eastAsia="zh-CN" w:bidi="ar"/>
              </w:rPr>
            </w:pPr>
            <w:r>
              <w:rPr>
                <w:rFonts w:hint="eastAsia" w:ascii="Times New Roman" w:hAnsi="Times New Roman" w:eastAsia="宋体" w:cs="宋体"/>
                <w:caps w:val="0"/>
                <w:spacing w:val="0"/>
                <w:kern w:val="0"/>
                <w:highlight w:val="none"/>
                <w:lang w:bidi="ar"/>
              </w:rPr>
              <w:t>噪声：</w:t>
            </w:r>
            <w:r>
              <w:rPr>
                <w:rFonts w:hint="eastAsia" w:ascii="Times New Roman" w:hAnsi="Times New Roman" w:eastAsia="宋体" w:cs="宋体"/>
                <w:caps w:val="0"/>
                <w:spacing w:val="0"/>
                <w:kern w:val="0"/>
                <w:highlight w:val="none"/>
                <w:lang w:val="en-US" w:eastAsia="zh-CN" w:bidi="ar"/>
              </w:rPr>
              <w:t>导热油炉</w:t>
            </w:r>
            <w:r>
              <w:rPr>
                <w:rFonts w:hint="eastAsia" w:ascii="Times New Roman" w:hAnsi="Times New Roman" w:eastAsia="宋体" w:cs="宋体"/>
                <w:caps w:val="0"/>
                <w:spacing w:val="0"/>
                <w:kern w:val="0"/>
                <w:highlight w:val="none"/>
                <w:lang w:bidi="ar"/>
              </w:rPr>
              <w:t>运行噪声；</w:t>
            </w:r>
          </w:p>
          <w:p w14:paraId="259FF102">
            <w:pPr>
              <w:keepNext w:val="0"/>
              <w:keepLines w:val="0"/>
              <w:pageBreakBefore w:val="0"/>
              <w:kinsoku/>
              <w:wordWrap/>
              <w:overflowPunct/>
              <w:topLinePunct w:val="0"/>
              <w:autoSpaceDE/>
              <w:autoSpaceDN/>
              <w:bidi w:val="0"/>
              <w:adjustRightInd w:val="0"/>
              <w:snapToGrid w:val="0"/>
              <w:textAlignment w:val="auto"/>
              <w:rPr>
                <w:rFonts w:hint="eastAsia" w:ascii="Times New Roman" w:hAnsi="Times New Roman" w:eastAsia="宋体" w:cs="宋体"/>
                <w:caps w:val="0"/>
                <w:spacing w:val="0"/>
                <w:kern w:val="0"/>
                <w:highlight w:val="none"/>
                <w:lang w:val="en-US" w:eastAsia="zh-CN" w:bidi="ar"/>
              </w:rPr>
            </w:pPr>
            <w:r>
              <w:rPr>
                <w:rFonts w:hint="eastAsia" w:ascii="Times New Roman" w:hAnsi="Times New Roman" w:eastAsia="宋体" w:cs="宋体"/>
                <w:caps w:val="0"/>
                <w:spacing w:val="0"/>
                <w:kern w:val="0"/>
                <w:highlight w:val="none"/>
                <w:lang w:bidi="ar"/>
              </w:rPr>
              <w:t>固废：</w:t>
            </w:r>
            <w:r>
              <w:rPr>
                <w:rFonts w:hint="eastAsia" w:ascii="Times New Roman" w:hAnsi="Times New Roman" w:eastAsia="宋体" w:cs="宋体"/>
                <w:caps w:val="0"/>
                <w:spacing w:val="0"/>
                <w:kern w:val="0"/>
                <w:highlight w:val="none"/>
                <w:lang w:val="en-US" w:eastAsia="zh-CN" w:bidi="ar"/>
              </w:rPr>
              <w:t>废导热油、布袋除尘器集尘、废布袋、废机油、废油桶、含油棉纱。</w:t>
            </w:r>
          </w:p>
          <w:p w14:paraId="0A097A9C">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highlight w:val="none"/>
                <w:lang w:val="en-US" w:eastAsia="zh-CN"/>
              </w:rPr>
            </w:pPr>
            <w:r>
              <w:rPr>
                <w:rFonts w:hint="eastAsia" w:cs="宋体"/>
                <w:b/>
                <w:bCs/>
                <w:caps w:val="0"/>
                <w:spacing w:val="0"/>
                <w:kern w:val="0"/>
                <w:sz w:val="21"/>
                <w:szCs w:val="16"/>
                <w:highlight w:val="none"/>
                <w:lang w:val="en-US" w:eastAsia="zh-CN" w:bidi="ar"/>
              </w:rPr>
              <w:t>表2-4 产排污环节一览表</w:t>
            </w:r>
          </w:p>
          <w:tbl>
            <w:tblPr>
              <w:tblStyle w:val="35"/>
              <w:tblW w:w="777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87"/>
              <w:gridCol w:w="1272"/>
              <w:gridCol w:w="1887"/>
              <w:gridCol w:w="1084"/>
              <w:gridCol w:w="2541"/>
            </w:tblGrid>
            <w:tr w14:paraId="50491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13AB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i w:val="0"/>
                      <w:iCs w:val="0"/>
                      <w:color w:val="000000"/>
                      <w:sz w:val="21"/>
                      <w:szCs w:val="21"/>
                      <w:highlight w:val="none"/>
                      <w:u w:val="none"/>
                    </w:rPr>
                  </w:pPr>
                  <w:r>
                    <w:rPr>
                      <w:rFonts w:ascii="宋体" w:hAnsi="宋体" w:eastAsia="宋体" w:cs="宋体"/>
                      <w:bCs/>
                      <w:i w:val="0"/>
                      <w:iCs w:val="0"/>
                      <w:color w:val="000000"/>
                      <w:kern w:val="0"/>
                      <w:sz w:val="21"/>
                      <w:szCs w:val="21"/>
                      <w:highlight w:val="none"/>
                      <w:u w:val="none"/>
                      <w:lang w:val="en-US" w:eastAsia="zh-CN" w:bidi="ar"/>
                    </w:rPr>
                    <w:t>污染物类型</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501E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i w:val="0"/>
                      <w:iCs w:val="0"/>
                      <w:color w:val="000000"/>
                      <w:sz w:val="21"/>
                      <w:szCs w:val="21"/>
                      <w:highlight w:val="none"/>
                      <w:u w:val="none"/>
                    </w:rPr>
                  </w:pPr>
                  <w:r>
                    <w:rPr>
                      <w:rFonts w:ascii="宋体" w:hAnsi="宋体" w:eastAsia="宋体" w:cs="宋体"/>
                      <w:bCs/>
                      <w:i w:val="0"/>
                      <w:iCs w:val="0"/>
                      <w:color w:val="000000"/>
                      <w:kern w:val="0"/>
                      <w:sz w:val="21"/>
                      <w:szCs w:val="21"/>
                      <w:highlight w:val="none"/>
                      <w:u w:val="none"/>
                      <w:lang w:val="en-US" w:eastAsia="zh-CN" w:bidi="ar"/>
                    </w:rPr>
                    <w:t>来源</w:t>
                  </w:r>
                </w:p>
              </w:tc>
              <w:tc>
                <w:tcPr>
                  <w:tcW w:w="1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83AD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i w:val="0"/>
                      <w:iCs w:val="0"/>
                      <w:color w:val="000000"/>
                      <w:sz w:val="21"/>
                      <w:szCs w:val="21"/>
                      <w:highlight w:val="none"/>
                      <w:u w:val="none"/>
                    </w:rPr>
                  </w:pPr>
                  <w:r>
                    <w:rPr>
                      <w:rFonts w:ascii="宋体" w:hAnsi="宋体" w:eastAsia="宋体" w:cs="宋体"/>
                      <w:bCs/>
                      <w:i w:val="0"/>
                      <w:iCs w:val="0"/>
                      <w:color w:val="000000"/>
                      <w:kern w:val="0"/>
                      <w:sz w:val="21"/>
                      <w:szCs w:val="21"/>
                      <w:highlight w:val="none"/>
                      <w:u w:val="none"/>
                      <w:lang w:val="en-US" w:eastAsia="zh-CN" w:bidi="ar"/>
                    </w:rPr>
                    <w:t>主要污染物</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6518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i w:val="0"/>
                      <w:iCs w:val="0"/>
                      <w:color w:val="000000"/>
                      <w:sz w:val="21"/>
                      <w:szCs w:val="21"/>
                      <w:highlight w:val="none"/>
                      <w:u w:val="none"/>
                    </w:rPr>
                  </w:pPr>
                  <w:r>
                    <w:rPr>
                      <w:rFonts w:ascii="宋体" w:hAnsi="宋体" w:eastAsia="宋体" w:cs="宋体"/>
                      <w:bCs/>
                      <w:i w:val="0"/>
                      <w:iCs w:val="0"/>
                      <w:color w:val="000000"/>
                      <w:kern w:val="0"/>
                      <w:sz w:val="21"/>
                      <w:szCs w:val="21"/>
                      <w:highlight w:val="none"/>
                      <w:u w:val="none"/>
                      <w:lang w:val="en-US" w:eastAsia="zh-CN" w:bidi="ar"/>
                    </w:rPr>
                    <w:t>排放方式</w:t>
                  </w:r>
                </w:p>
              </w:tc>
              <w:tc>
                <w:tcPr>
                  <w:tcW w:w="25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ACAD2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i w:val="0"/>
                      <w:iCs w:val="0"/>
                      <w:color w:val="000000"/>
                      <w:sz w:val="21"/>
                      <w:szCs w:val="21"/>
                      <w:highlight w:val="none"/>
                      <w:u w:val="none"/>
                    </w:rPr>
                  </w:pPr>
                  <w:r>
                    <w:rPr>
                      <w:rFonts w:ascii="宋体" w:hAnsi="宋体" w:eastAsia="宋体" w:cs="宋体"/>
                      <w:bCs/>
                      <w:i w:val="0"/>
                      <w:iCs w:val="0"/>
                      <w:color w:val="000000"/>
                      <w:kern w:val="0"/>
                      <w:sz w:val="21"/>
                      <w:szCs w:val="21"/>
                      <w:highlight w:val="none"/>
                      <w:u w:val="none"/>
                      <w:lang w:val="en-US" w:eastAsia="zh-CN" w:bidi="ar"/>
                    </w:rPr>
                    <w:t>治理措施</w:t>
                  </w:r>
                </w:p>
              </w:tc>
            </w:tr>
            <w:tr w14:paraId="7617F3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987" w:type="dxa"/>
                  <w:vMerge w:val="restart"/>
                  <w:tcBorders>
                    <w:top w:val="single" w:color="000000" w:sz="4" w:space="0"/>
                    <w:left w:val="single" w:color="000000" w:sz="4" w:space="0"/>
                    <w:right w:val="single" w:color="000000" w:sz="4" w:space="0"/>
                  </w:tcBorders>
                  <w:shd w:val="clear" w:color="auto" w:fill="auto"/>
                  <w:vAlign w:val="center"/>
                </w:tcPr>
                <w:p w14:paraId="4599DD4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i w:val="0"/>
                      <w:iCs w:val="0"/>
                      <w:color w:val="000000"/>
                      <w:sz w:val="21"/>
                      <w:szCs w:val="21"/>
                      <w:highlight w:val="none"/>
                      <w:u w:val="none"/>
                    </w:rPr>
                  </w:pPr>
                  <w:r>
                    <w:rPr>
                      <w:rFonts w:ascii="宋体" w:hAnsi="宋体" w:eastAsia="宋体" w:cs="宋体"/>
                      <w:bCs/>
                      <w:i w:val="0"/>
                      <w:iCs w:val="0"/>
                      <w:color w:val="000000"/>
                      <w:kern w:val="0"/>
                      <w:sz w:val="21"/>
                      <w:szCs w:val="21"/>
                      <w:highlight w:val="none"/>
                      <w:u w:val="none"/>
                      <w:lang w:val="en-US" w:eastAsia="zh-CN" w:bidi="ar"/>
                    </w:rPr>
                    <w:t>废气</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A643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锅炉房1</w:t>
                  </w:r>
                </w:p>
              </w:tc>
              <w:tc>
                <w:tcPr>
                  <w:tcW w:w="1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93F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i w:val="0"/>
                      <w:iCs w:val="0"/>
                      <w:color w:val="000000"/>
                      <w:sz w:val="21"/>
                      <w:szCs w:val="21"/>
                      <w:highlight w:val="none"/>
                      <w:u w:val="none"/>
                      <w:lang w:val="en-US"/>
                    </w:rPr>
                  </w:pPr>
                  <w:r>
                    <w:rPr>
                      <w:rFonts w:ascii="宋体" w:hAnsi="宋体" w:eastAsia="宋体" w:cs="宋体"/>
                      <w:bCs/>
                      <w:i w:val="0"/>
                      <w:iCs w:val="0"/>
                      <w:color w:val="000000"/>
                      <w:kern w:val="0"/>
                      <w:sz w:val="21"/>
                      <w:szCs w:val="21"/>
                      <w:highlight w:val="none"/>
                      <w:u w:val="none"/>
                      <w:lang w:val="en-US" w:eastAsia="zh-CN" w:bidi="ar"/>
                    </w:rPr>
                    <w:t>颗粒物</w:t>
                  </w:r>
                  <w:r>
                    <w:rPr>
                      <w:rFonts w:hint="eastAsia" w:ascii="宋体" w:hAnsi="宋体" w:eastAsia="宋体" w:cs="宋体"/>
                      <w:bCs/>
                      <w:i w:val="0"/>
                      <w:iCs w:val="0"/>
                      <w:color w:val="000000"/>
                      <w:kern w:val="0"/>
                      <w:sz w:val="21"/>
                      <w:szCs w:val="21"/>
                      <w:highlight w:val="none"/>
                      <w:u w:val="none"/>
                      <w:lang w:val="en-US" w:eastAsia="zh-CN" w:bidi="ar"/>
                    </w:rPr>
                    <w:t>、二氧化硫、氮氧化物、烟气黑度</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BE39E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i w:val="0"/>
                      <w:iCs w:val="0"/>
                      <w:color w:val="000000"/>
                      <w:sz w:val="21"/>
                      <w:szCs w:val="21"/>
                      <w:highlight w:val="none"/>
                      <w:u w:val="none"/>
                    </w:rPr>
                  </w:pPr>
                  <w:r>
                    <w:rPr>
                      <w:rFonts w:ascii="宋体" w:hAnsi="宋体" w:eastAsia="宋体" w:cs="宋体"/>
                      <w:bCs/>
                      <w:i w:val="0"/>
                      <w:iCs w:val="0"/>
                      <w:color w:val="000000"/>
                      <w:kern w:val="0"/>
                      <w:sz w:val="21"/>
                      <w:szCs w:val="21"/>
                      <w:highlight w:val="none"/>
                      <w:u w:val="none"/>
                      <w:lang w:val="en-US" w:eastAsia="zh-CN" w:bidi="ar"/>
                    </w:rPr>
                    <w:t>间歇</w:t>
                  </w:r>
                </w:p>
              </w:tc>
              <w:tc>
                <w:tcPr>
                  <w:tcW w:w="25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E031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sz w:val="21"/>
                      <w:szCs w:val="21"/>
                      <w:highlight w:val="none"/>
                      <w:u w:val="none"/>
                      <w:lang w:val="en-US" w:eastAsia="zh-CN"/>
                    </w:rPr>
                    <w:t>产生的废气经低氮燃烧器+布袋除尘器处理后经20m高排气筒DA003有组织排放</w:t>
                  </w:r>
                </w:p>
              </w:tc>
            </w:tr>
            <w:tr w14:paraId="7D46A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987" w:type="dxa"/>
                  <w:vMerge w:val="continue"/>
                  <w:tcBorders>
                    <w:left w:val="single" w:color="000000" w:sz="4" w:space="0"/>
                    <w:bottom w:val="single" w:color="000000" w:sz="4" w:space="0"/>
                    <w:right w:val="single" w:color="000000" w:sz="4" w:space="0"/>
                  </w:tcBorders>
                  <w:shd w:val="clear" w:color="auto" w:fill="auto"/>
                  <w:vAlign w:val="center"/>
                </w:tcPr>
                <w:p w14:paraId="08429DF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bCs/>
                      <w:i w:val="0"/>
                      <w:iCs w:val="0"/>
                      <w:color w:val="000000"/>
                      <w:kern w:val="0"/>
                      <w:sz w:val="21"/>
                      <w:szCs w:val="21"/>
                      <w:highlight w:val="none"/>
                      <w:u w:val="none"/>
                      <w:lang w:val="en-US" w:eastAsia="zh-CN" w:bidi="ar"/>
                    </w:rPr>
                  </w:pP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5DFD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锅炉房2</w:t>
                  </w:r>
                </w:p>
              </w:tc>
              <w:tc>
                <w:tcPr>
                  <w:tcW w:w="1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2DA0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bCs/>
                      <w:i w:val="0"/>
                      <w:iCs w:val="0"/>
                      <w:color w:val="000000"/>
                      <w:kern w:val="0"/>
                      <w:sz w:val="21"/>
                      <w:szCs w:val="21"/>
                      <w:highlight w:val="none"/>
                      <w:u w:val="none"/>
                      <w:lang w:val="en-US" w:eastAsia="zh-CN" w:bidi="ar"/>
                    </w:rPr>
                  </w:pPr>
                  <w:r>
                    <w:rPr>
                      <w:rFonts w:ascii="宋体" w:hAnsi="宋体" w:eastAsia="宋体" w:cs="宋体"/>
                      <w:bCs/>
                      <w:i w:val="0"/>
                      <w:iCs w:val="0"/>
                      <w:color w:val="000000"/>
                      <w:kern w:val="0"/>
                      <w:sz w:val="21"/>
                      <w:szCs w:val="21"/>
                      <w:highlight w:val="none"/>
                      <w:u w:val="none"/>
                      <w:lang w:val="en-US" w:eastAsia="zh-CN" w:bidi="ar"/>
                    </w:rPr>
                    <w:t>颗粒物</w:t>
                  </w:r>
                  <w:r>
                    <w:rPr>
                      <w:rFonts w:hint="eastAsia" w:ascii="宋体" w:hAnsi="宋体" w:eastAsia="宋体" w:cs="宋体"/>
                      <w:bCs/>
                      <w:i w:val="0"/>
                      <w:iCs w:val="0"/>
                      <w:color w:val="000000"/>
                      <w:kern w:val="0"/>
                      <w:sz w:val="21"/>
                      <w:szCs w:val="21"/>
                      <w:highlight w:val="none"/>
                      <w:u w:val="none"/>
                      <w:lang w:val="en-US" w:eastAsia="zh-CN" w:bidi="ar"/>
                    </w:rPr>
                    <w:t>、二氧化硫、氮氧化物、烟气黑度</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AF78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bCs/>
                      <w:i w:val="0"/>
                      <w:iCs w:val="0"/>
                      <w:color w:val="000000"/>
                      <w:kern w:val="0"/>
                      <w:sz w:val="21"/>
                      <w:szCs w:val="21"/>
                      <w:highlight w:val="none"/>
                      <w:u w:val="none"/>
                      <w:lang w:val="en-US" w:eastAsia="zh-CN" w:bidi="ar"/>
                    </w:rPr>
                  </w:pPr>
                  <w:r>
                    <w:rPr>
                      <w:rFonts w:ascii="宋体" w:hAnsi="宋体" w:eastAsia="宋体" w:cs="宋体"/>
                      <w:bCs/>
                      <w:i w:val="0"/>
                      <w:iCs w:val="0"/>
                      <w:color w:val="000000"/>
                      <w:kern w:val="0"/>
                      <w:sz w:val="21"/>
                      <w:szCs w:val="21"/>
                      <w:highlight w:val="none"/>
                      <w:u w:val="none"/>
                      <w:lang w:val="en-US" w:eastAsia="zh-CN" w:bidi="ar"/>
                    </w:rPr>
                    <w:t>间歇</w:t>
                  </w:r>
                </w:p>
              </w:tc>
              <w:tc>
                <w:tcPr>
                  <w:tcW w:w="25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6346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lang w:val="en-US" w:eastAsia="zh-CN"/>
                    </w:rPr>
                    <w:t>产生的废气经低氮燃烧器+布袋除尘器处理后经20m高排气筒DA00</w:t>
                  </w:r>
                  <w:r>
                    <w:rPr>
                      <w:rFonts w:hint="eastAsia" w:cs="宋体"/>
                      <w:i w:val="0"/>
                      <w:iCs w:val="0"/>
                      <w:color w:val="000000"/>
                      <w:sz w:val="21"/>
                      <w:szCs w:val="21"/>
                      <w:highlight w:val="none"/>
                      <w:u w:val="none"/>
                      <w:lang w:val="en-US" w:eastAsia="zh-CN"/>
                    </w:rPr>
                    <w:t>4</w:t>
                  </w:r>
                  <w:r>
                    <w:rPr>
                      <w:rFonts w:hint="eastAsia" w:ascii="宋体" w:hAnsi="宋体" w:eastAsia="宋体" w:cs="宋体"/>
                      <w:i w:val="0"/>
                      <w:iCs w:val="0"/>
                      <w:color w:val="000000"/>
                      <w:sz w:val="21"/>
                      <w:szCs w:val="21"/>
                      <w:highlight w:val="none"/>
                      <w:u w:val="none"/>
                      <w:lang w:val="en-US" w:eastAsia="zh-CN"/>
                    </w:rPr>
                    <w:t>有组织排放</w:t>
                  </w:r>
                </w:p>
              </w:tc>
            </w:tr>
            <w:tr w14:paraId="5A79E9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987" w:type="dxa"/>
                  <w:vMerge w:val="restart"/>
                  <w:tcBorders>
                    <w:left w:val="single" w:color="000000" w:sz="4" w:space="0"/>
                    <w:right w:val="single" w:color="000000" w:sz="4" w:space="0"/>
                  </w:tcBorders>
                  <w:shd w:val="clear" w:color="auto" w:fill="auto"/>
                  <w:vAlign w:val="center"/>
                </w:tcPr>
                <w:p w14:paraId="66735E2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噪声</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BC81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锅炉房1</w:t>
                  </w:r>
                </w:p>
              </w:tc>
              <w:tc>
                <w:tcPr>
                  <w:tcW w:w="1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3BD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bCs/>
                      <w:i w:val="0"/>
                      <w:iCs w:val="0"/>
                      <w:color w:val="000000"/>
                      <w:kern w:val="0"/>
                      <w:sz w:val="21"/>
                      <w:szCs w:val="21"/>
                      <w:highlight w:val="none"/>
                      <w:u w:val="none"/>
                      <w:lang w:val="en-US" w:eastAsia="zh-CN" w:bidi="ar"/>
                    </w:rPr>
                  </w:pPr>
                  <w:r>
                    <w:rPr>
                      <w:rFonts w:hint="eastAsia" w:ascii="Times New Roman" w:hAnsi="Times New Roman" w:eastAsia="宋体" w:cs="宋体"/>
                      <w:caps w:val="0"/>
                      <w:spacing w:val="0"/>
                      <w:kern w:val="0"/>
                      <w:sz w:val="21"/>
                      <w:szCs w:val="21"/>
                      <w:highlight w:val="none"/>
                      <w:lang w:val="en-US" w:eastAsia="zh-CN" w:bidi="ar"/>
                    </w:rPr>
                    <w:t>导热油炉</w:t>
                  </w:r>
                  <w:r>
                    <w:rPr>
                      <w:rFonts w:hint="eastAsia" w:ascii="宋体" w:hAnsi="宋体" w:eastAsia="宋体" w:cs="宋体"/>
                      <w:bCs/>
                      <w:i w:val="0"/>
                      <w:iCs w:val="0"/>
                      <w:color w:val="000000"/>
                      <w:kern w:val="0"/>
                      <w:sz w:val="21"/>
                      <w:szCs w:val="21"/>
                      <w:highlight w:val="none"/>
                      <w:u w:val="none"/>
                      <w:lang w:val="en-US" w:eastAsia="zh-CN" w:bidi="ar"/>
                    </w:rPr>
                    <w:t>、风机</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F4FB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bCs/>
                      <w:i w:val="0"/>
                      <w:iCs w:val="0"/>
                      <w:color w:val="000000"/>
                      <w:kern w:val="0"/>
                      <w:sz w:val="21"/>
                      <w:szCs w:val="21"/>
                      <w:highlight w:val="none"/>
                      <w:u w:val="none"/>
                      <w:lang w:val="en-US" w:eastAsia="zh-CN" w:bidi="ar"/>
                    </w:rPr>
                  </w:pPr>
                  <w:r>
                    <w:rPr>
                      <w:rFonts w:ascii="宋体" w:hAnsi="宋体" w:eastAsia="宋体" w:cs="宋体"/>
                      <w:bCs/>
                      <w:i w:val="0"/>
                      <w:iCs w:val="0"/>
                      <w:color w:val="000000"/>
                      <w:kern w:val="0"/>
                      <w:sz w:val="21"/>
                      <w:szCs w:val="21"/>
                      <w:highlight w:val="none"/>
                      <w:u w:val="none"/>
                      <w:lang w:val="en-US" w:eastAsia="zh-CN" w:bidi="ar"/>
                    </w:rPr>
                    <w:t>间歇</w:t>
                  </w:r>
                </w:p>
              </w:tc>
              <w:tc>
                <w:tcPr>
                  <w:tcW w:w="25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C9E9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sz w:val="21"/>
                      <w:szCs w:val="21"/>
                      <w:highlight w:val="none"/>
                      <w:u w:val="none"/>
                      <w:lang w:val="en-US" w:eastAsia="zh-CN"/>
                    </w:rPr>
                    <w:t>基础减振、厂房隔声</w:t>
                  </w:r>
                </w:p>
              </w:tc>
            </w:tr>
            <w:tr w14:paraId="0D8CA2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987" w:type="dxa"/>
                  <w:vMerge w:val="continue"/>
                  <w:tcBorders>
                    <w:left w:val="single" w:color="000000" w:sz="4" w:space="0"/>
                    <w:bottom w:val="single" w:color="000000" w:sz="4" w:space="0"/>
                    <w:right w:val="single" w:color="000000" w:sz="4" w:space="0"/>
                  </w:tcBorders>
                  <w:shd w:val="clear" w:color="auto" w:fill="auto"/>
                  <w:vAlign w:val="center"/>
                </w:tcPr>
                <w:p w14:paraId="515ED9C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bCs/>
                      <w:i w:val="0"/>
                      <w:iCs w:val="0"/>
                      <w:color w:val="000000"/>
                      <w:kern w:val="0"/>
                      <w:sz w:val="21"/>
                      <w:szCs w:val="21"/>
                      <w:highlight w:val="none"/>
                      <w:u w:val="none"/>
                      <w:lang w:val="en-US" w:eastAsia="zh-CN" w:bidi="ar"/>
                    </w:rPr>
                  </w:pP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A6B0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锅炉房2</w:t>
                  </w:r>
                </w:p>
              </w:tc>
              <w:tc>
                <w:tcPr>
                  <w:tcW w:w="1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4B9E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bCs/>
                      <w:i w:val="0"/>
                      <w:iCs w:val="0"/>
                      <w:color w:val="000000"/>
                      <w:kern w:val="0"/>
                      <w:sz w:val="21"/>
                      <w:szCs w:val="21"/>
                      <w:highlight w:val="none"/>
                      <w:u w:val="none"/>
                      <w:lang w:val="en-US" w:eastAsia="zh-CN" w:bidi="ar"/>
                    </w:rPr>
                  </w:pPr>
                  <w:r>
                    <w:rPr>
                      <w:rFonts w:hint="eastAsia" w:ascii="Times New Roman" w:hAnsi="Times New Roman" w:eastAsia="宋体" w:cs="宋体"/>
                      <w:caps w:val="0"/>
                      <w:spacing w:val="0"/>
                      <w:kern w:val="0"/>
                      <w:sz w:val="21"/>
                      <w:szCs w:val="21"/>
                      <w:highlight w:val="none"/>
                      <w:lang w:val="en-US" w:eastAsia="zh-CN" w:bidi="ar"/>
                    </w:rPr>
                    <w:t>导热油炉</w:t>
                  </w:r>
                  <w:r>
                    <w:rPr>
                      <w:rFonts w:hint="eastAsia" w:ascii="宋体" w:hAnsi="宋体" w:eastAsia="宋体" w:cs="宋体"/>
                      <w:bCs/>
                      <w:i w:val="0"/>
                      <w:iCs w:val="0"/>
                      <w:color w:val="000000"/>
                      <w:kern w:val="0"/>
                      <w:sz w:val="21"/>
                      <w:szCs w:val="21"/>
                      <w:highlight w:val="none"/>
                      <w:u w:val="none"/>
                      <w:lang w:val="en-US" w:eastAsia="zh-CN" w:bidi="ar"/>
                    </w:rPr>
                    <w:t>、风机</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889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bCs/>
                      <w:i w:val="0"/>
                      <w:iCs w:val="0"/>
                      <w:color w:val="000000"/>
                      <w:kern w:val="0"/>
                      <w:sz w:val="21"/>
                      <w:szCs w:val="21"/>
                      <w:highlight w:val="none"/>
                      <w:u w:val="none"/>
                      <w:lang w:val="en-US" w:eastAsia="zh-CN" w:bidi="ar"/>
                    </w:rPr>
                  </w:pPr>
                  <w:r>
                    <w:rPr>
                      <w:rFonts w:ascii="宋体" w:hAnsi="宋体" w:eastAsia="宋体" w:cs="宋体"/>
                      <w:bCs/>
                      <w:i w:val="0"/>
                      <w:iCs w:val="0"/>
                      <w:color w:val="000000"/>
                      <w:kern w:val="0"/>
                      <w:sz w:val="21"/>
                      <w:szCs w:val="21"/>
                      <w:highlight w:val="none"/>
                      <w:u w:val="none"/>
                      <w:lang w:val="en-US" w:eastAsia="zh-CN" w:bidi="ar"/>
                    </w:rPr>
                    <w:t>间歇</w:t>
                  </w:r>
                </w:p>
              </w:tc>
              <w:tc>
                <w:tcPr>
                  <w:tcW w:w="25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26C6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lang w:val="en-US" w:eastAsia="zh-CN"/>
                    </w:rPr>
                    <w:t>基础减振、厂房隔声</w:t>
                  </w:r>
                </w:p>
              </w:tc>
            </w:tr>
            <w:tr w14:paraId="092A5D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987" w:type="dxa"/>
                  <w:vMerge w:val="restart"/>
                  <w:tcBorders>
                    <w:top w:val="single" w:color="000000" w:sz="4" w:space="0"/>
                    <w:left w:val="single" w:color="000000" w:sz="4" w:space="0"/>
                    <w:right w:val="single" w:color="000000" w:sz="4" w:space="0"/>
                  </w:tcBorders>
                  <w:shd w:val="clear" w:color="auto" w:fill="auto"/>
                  <w:vAlign w:val="center"/>
                </w:tcPr>
                <w:p w14:paraId="10A6E76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固废</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B711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锅炉房1</w:t>
                  </w:r>
                </w:p>
              </w:tc>
              <w:tc>
                <w:tcPr>
                  <w:tcW w:w="1887" w:type="dxa"/>
                  <w:vMerge w:val="restart"/>
                  <w:tcBorders>
                    <w:top w:val="single" w:color="000000" w:sz="4" w:space="0"/>
                    <w:left w:val="single" w:color="000000" w:sz="4" w:space="0"/>
                    <w:right w:val="single" w:color="000000" w:sz="4" w:space="0"/>
                  </w:tcBorders>
                  <w:shd w:val="clear" w:color="auto" w:fill="auto"/>
                  <w:vAlign w:val="center"/>
                </w:tcPr>
                <w:p w14:paraId="43695A8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废导热油、布袋除尘器集尘、废布袋、废机油、废油桶、含油棉纱。</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E079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w:t>
                  </w:r>
                </w:p>
              </w:tc>
              <w:tc>
                <w:tcPr>
                  <w:tcW w:w="2541" w:type="dxa"/>
                  <w:vMerge w:val="restart"/>
                  <w:tcBorders>
                    <w:top w:val="single" w:color="000000" w:sz="4" w:space="0"/>
                    <w:left w:val="single" w:color="000000" w:sz="4" w:space="0"/>
                    <w:right w:val="single" w:color="000000" w:sz="4" w:space="0"/>
                  </w:tcBorders>
                  <w:shd w:val="clear" w:color="auto" w:fill="auto"/>
                  <w:vAlign w:val="center"/>
                </w:tcPr>
                <w:p w14:paraId="6D17F37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sz w:val="21"/>
                      <w:szCs w:val="21"/>
                      <w:highlight w:val="none"/>
                      <w:u w:val="none"/>
                      <w:lang w:val="en-US" w:eastAsia="zh-CN"/>
                    </w:rPr>
                    <w:t>布袋除尘器集尘集中收集外售综合利用；废布袋交厂家回收处置；废导热油、废机油、废油桶、含油棉纱暂存危废贮存点，定期交有资质单位处置</w:t>
                  </w:r>
                </w:p>
              </w:tc>
            </w:tr>
            <w:tr w14:paraId="0D2F01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987" w:type="dxa"/>
                  <w:vMerge w:val="continue"/>
                  <w:tcBorders>
                    <w:left w:val="single" w:color="000000" w:sz="4" w:space="0"/>
                    <w:bottom w:val="single" w:color="000000" w:sz="4" w:space="0"/>
                    <w:right w:val="single" w:color="000000" w:sz="4" w:space="0"/>
                  </w:tcBorders>
                  <w:shd w:val="clear" w:color="auto" w:fill="auto"/>
                  <w:vAlign w:val="center"/>
                </w:tcPr>
                <w:p w14:paraId="52F3E05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bCs/>
                      <w:i w:val="0"/>
                      <w:iCs w:val="0"/>
                      <w:color w:val="000000"/>
                      <w:kern w:val="0"/>
                      <w:sz w:val="21"/>
                      <w:szCs w:val="21"/>
                      <w:highlight w:val="none"/>
                      <w:u w:val="none"/>
                      <w:lang w:val="en-US" w:eastAsia="zh-CN" w:bidi="ar"/>
                    </w:rPr>
                  </w:pPr>
                </w:p>
              </w:tc>
              <w:tc>
                <w:tcPr>
                  <w:tcW w:w="1272" w:type="dxa"/>
                  <w:tcBorders>
                    <w:top w:val="single" w:color="000000" w:sz="4" w:space="0"/>
                    <w:left w:val="single" w:color="000000" w:sz="4" w:space="0"/>
                    <w:right w:val="single" w:color="000000" w:sz="4" w:space="0"/>
                  </w:tcBorders>
                  <w:shd w:val="clear" w:color="auto" w:fill="auto"/>
                  <w:vAlign w:val="center"/>
                </w:tcPr>
                <w:p w14:paraId="7EEADBB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锅炉房2</w:t>
                  </w:r>
                </w:p>
              </w:tc>
              <w:tc>
                <w:tcPr>
                  <w:tcW w:w="1887" w:type="dxa"/>
                  <w:vMerge w:val="continue"/>
                  <w:tcBorders>
                    <w:left w:val="single" w:color="000000" w:sz="4" w:space="0"/>
                    <w:bottom w:val="single" w:color="000000" w:sz="4" w:space="0"/>
                    <w:right w:val="single" w:color="000000" w:sz="4" w:space="0"/>
                  </w:tcBorders>
                  <w:shd w:val="clear" w:color="auto" w:fill="auto"/>
                  <w:vAlign w:val="center"/>
                </w:tcPr>
                <w:p w14:paraId="486954D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bCs/>
                      <w:i w:val="0"/>
                      <w:iCs w:val="0"/>
                      <w:color w:val="000000"/>
                      <w:kern w:val="0"/>
                      <w:sz w:val="21"/>
                      <w:szCs w:val="21"/>
                      <w:highlight w:val="none"/>
                      <w:u w:val="none"/>
                      <w:lang w:val="en-US" w:eastAsia="zh-CN" w:bidi="ar"/>
                    </w:rPr>
                  </w:pP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E577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bCs/>
                      <w:i w:val="0"/>
                      <w:iCs w:val="0"/>
                      <w:color w:val="000000"/>
                      <w:kern w:val="0"/>
                      <w:sz w:val="21"/>
                      <w:szCs w:val="21"/>
                      <w:highlight w:val="none"/>
                      <w:u w:val="none"/>
                      <w:lang w:val="en-US" w:eastAsia="zh-CN" w:bidi="ar"/>
                    </w:rPr>
                  </w:pPr>
                  <w:r>
                    <w:rPr>
                      <w:rFonts w:hint="eastAsia" w:ascii="宋体" w:hAnsi="宋体" w:eastAsia="宋体" w:cs="宋体"/>
                      <w:bCs/>
                      <w:i w:val="0"/>
                      <w:iCs w:val="0"/>
                      <w:color w:val="000000"/>
                      <w:kern w:val="0"/>
                      <w:sz w:val="21"/>
                      <w:szCs w:val="21"/>
                      <w:highlight w:val="none"/>
                      <w:u w:val="none"/>
                      <w:lang w:val="en-US" w:eastAsia="zh-CN" w:bidi="ar"/>
                    </w:rPr>
                    <w:t>/</w:t>
                  </w:r>
                </w:p>
              </w:tc>
              <w:tc>
                <w:tcPr>
                  <w:tcW w:w="2541" w:type="dxa"/>
                  <w:vMerge w:val="continue"/>
                  <w:tcBorders>
                    <w:left w:val="single" w:color="000000" w:sz="4" w:space="0"/>
                    <w:bottom w:val="single" w:color="000000" w:sz="4" w:space="0"/>
                    <w:right w:val="single" w:color="000000" w:sz="4" w:space="0"/>
                  </w:tcBorders>
                  <w:shd w:val="clear" w:color="auto" w:fill="auto"/>
                  <w:vAlign w:val="center"/>
                </w:tcPr>
                <w:p w14:paraId="3499388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宋体" w:hAnsi="宋体" w:eastAsia="宋体" w:cs="宋体"/>
                      <w:i w:val="0"/>
                      <w:iCs w:val="0"/>
                      <w:color w:val="000000"/>
                      <w:sz w:val="21"/>
                      <w:szCs w:val="21"/>
                      <w:highlight w:val="none"/>
                      <w:u w:val="none"/>
                    </w:rPr>
                  </w:pPr>
                </w:p>
              </w:tc>
            </w:tr>
          </w:tbl>
          <w:p w14:paraId="45BC5611">
            <w:pPr>
              <w:pStyle w:val="2"/>
              <w:rPr>
                <w:rFonts w:hint="eastAsia"/>
                <w:highlight w:val="none"/>
                <w:lang w:val="en-US" w:eastAsia="zh-CN"/>
              </w:rPr>
            </w:pPr>
          </w:p>
        </w:tc>
      </w:tr>
      <w:tr w14:paraId="4407B2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67" w:hRule="atLeast"/>
          <w:jc w:val="center"/>
        </w:trPr>
        <w:tc>
          <w:tcPr>
            <w:tcW w:w="535" w:type="dxa"/>
            <w:noWrap w:val="0"/>
            <w:vAlign w:val="center"/>
          </w:tcPr>
          <w:p w14:paraId="60C47C43">
            <w:pPr>
              <w:pStyle w:val="32"/>
              <w:spacing w:before="0" w:beforeAutospacing="0" w:after="0" w:afterAutospacing="0" w:line="240" w:lineRule="auto"/>
              <w:ind w:firstLine="0" w:firstLineChars="0"/>
              <w:jc w:val="center"/>
              <w:rPr>
                <w:rFonts w:hint="eastAsia" w:ascii="Times New Roman" w:hAnsi="Times New Roman" w:eastAsia="宋体" w:cs="宋体"/>
                <w:bCs/>
                <w:caps w:val="0"/>
                <w:color w:val="auto"/>
                <w:spacing w:val="0"/>
                <w:highlight w:val="none"/>
              </w:rPr>
            </w:pPr>
            <w:r>
              <w:rPr>
                <w:rFonts w:hint="eastAsia" w:ascii="Times New Roman" w:hAnsi="Times New Roman" w:eastAsia="宋体" w:cs="宋体"/>
                <w:bCs/>
                <w:caps w:val="0"/>
                <w:color w:val="auto"/>
                <w:spacing w:val="0"/>
                <w:kern w:val="2"/>
                <w:sz w:val="22"/>
                <w:szCs w:val="18"/>
                <w:highlight w:val="none"/>
              </w:rPr>
              <w:t>与项目有关的原有环境污染问题</w:t>
            </w:r>
          </w:p>
        </w:tc>
        <w:tc>
          <w:tcPr>
            <w:tcW w:w="7987" w:type="dxa"/>
            <w:noWrap w:val="0"/>
            <w:vAlign w:val="center"/>
          </w:tcPr>
          <w:p w14:paraId="73980296">
            <w:pPr>
              <w:spacing w:line="360" w:lineRule="auto"/>
              <w:ind w:left="0" w:leftChars="0" w:firstLine="0" w:firstLineChars="0"/>
              <w:jc w:val="left"/>
              <w:rPr>
                <w:rFonts w:hint="eastAsia" w:ascii="Times New Roman" w:hAnsi="Times New Roman" w:eastAsia="宋体" w:cs="宋体"/>
                <w:b/>
                <w:bCs w:val="0"/>
                <w:caps w:val="0"/>
                <w:highlight w:val="none"/>
                <w:lang w:val="en-US" w:eastAsia="zh-CN"/>
              </w:rPr>
            </w:pPr>
            <w:r>
              <w:rPr>
                <w:rFonts w:hint="eastAsia" w:ascii="Times New Roman" w:hAnsi="Times New Roman" w:eastAsia="宋体" w:cs="宋体"/>
                <w:b/>
                <w:bCs w:val="0"/>
                <w:caps w:val="0"/>
                <w:highlight w:val="none"/>
                <w:lang w:val="en-US" w:eastAsia="zh-CN"/>
              </w:rPr>
              <w:t>1.原项目环保手续</w:t>
            </w:r>
          </w:p>
          <w:p w14:paraId="394A3860">
            <w:pPr>
              <w:spacing w:line="360" w:lineRule="auto"/>
              <w:rPr>
                <w:rFonts w:hint="eastAsia" w:ascii="Times New Roman" w:hAnsi="Times New Roman" w:eastAsia="宋体" w:cs="宋体"/>
                <w:caps w:val="0"/>
                <w:highlight w:val="none"/>
                <w:lang w:val="en-US" w:eastAsia="zh-CN"/>
              </w:rPr>
            </w:pPr>
            <w:r>
              <w:rPr>
                <w:rFonts w:hint="eastAsia" w:ascii="Times New Roman" w:hAnsi="Times New Roman" w:eastAsia="宋体" w:cs="宋体"/>
                <w:caps w:val="0"/>
                <w:spacing w:val="0"/>
                <w:highlight w:val="none"/>
                <w:lang w:val="en-US" w:eastAsia="zh-CN"/>
              </w:rPr>
              <w:t>2017年建设单位委托亿普环保服务有限公司编制了</w:t>
            </w:r>
            <w:r>
              <w:rPr>
                <w:rFonts w:hint="eastAsia" w:ascii="Times New Roman" w:hAnsi="Times New Roman" w:eastAsia="宋体" w:cs="宋体"/>
                <w:bCs/>
                <w:caps w:val="0"/>
                <w:spacing w:val="0"/>
                <w:sz w:val="24"/>
                <w:szCs w:val="24"/>
                <w:highlight w:val="none"/>
                <w:shd w:val="clear"/>
                <w:lang w:val="en-US" w:eastAsia="zh-CN"/>
              </w:rPr>
              <w:t>《梨树区石墨筛分烘干建设项目环境影响评价报告表》</w:t>
            </w:r>
            <w:r>
              <w:rPr>
                <w:rFonts w:hint="eastAsia" w:ascii="Times New Roman" w:hAnsi="Times New Roman" w:eastAsia="宋体" w:cs="宋体"/>
                <w:caps w:val="0"/>
                <w:spacing w:val="0"/>
                <w:highlight w:val="none"/>
                <w:lang w:val="en-US" w:eastAsia="zh-CN"/>
              </w:rPr>
              <w:t>，</w:t>
            </w:r>
            <w:r>
              <w:rPr>
                <w:rFonts w:hint="eastAsia" w:ascii="Times New Roman" w:hAnsi="Times New Roman" w:eastAsia="宋体" w:cs="宋体"/>
                <w:caps w:val="0"/>
                <w:highlight w:val="none"/>
                <w:lang w:val="en-US" w:eastAsia="zh-CN"/>
              </w:rPr>
              <w:t>于2017年11月27日取得由鸡西市环境保护局出具的《关于梨树区石墨筛分烘干建设项目环境影响报告表的批复》（鸡环审〔</w:t>
            </w:r>
            <w:r>
              <w:rPr>
                <w:rFonts w:hint="default" w:ascii="Times New Roman" w:hAnsi="Times New Roman" w:eastAsia="宋体" w:cs="宋体"/>
                <w:caps w:val="0"/>
                <w:highlight w:val="none"/>
                <w:lang w:val="en-US" w:eastAsia="zh-CN"/>
              </w:rPr>
              <w:t>20</w:t>
            </w:r>
            <w:r>
              <w:rPr>
                <w:rFonts w:hint="eastAsia" w:ascii="Times New Roman" w:hAnsi="Times New Roman" w:eastAsia="宋体" w:cs="宋体"/>
                <w:caps w:val="0"/>
                <w:highlight w:val="none"/>
                <w:lang w:val="en-US" w:eastAsia="zh-CN"/>
              </w:rPr>
              <w:t>17〕36号）。</w:t>
            </w:r>
          </w:p>
          <w:p w14:paraId="78BA430D">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left"/>
              <w:textAlignment w:val="auto"/>
              <w:rPr>
                <w:rFonts w:hint="eastAsia" w:ascii="Times New Roman" w:hAnsi="Times New Roman" w:eastAsia="宋体" w:cs="宋体"/>
                <w:caps w:val="0"/>
                <w:highlight w:val="none"/>
                <w:lang w:val="en-US" w:eastAsia="zh-CN"/>
              </w:rPr>
            </w:pPr>
            <w:r>
              <w:rPr>
                <w:rFonts w:hint="eastAsia" w:ascii="Times New Roman" w:hAnsi="Times New Roman" w:eastAsia="宋体" w:cs="宋体"/>
                <w:caps w:val="0"/>
                <w:highlight w:val="none"/>
                <w:lang w:val="en-US" w:eastAsia="zh-CN"/>
              </w:rPr>
              <w:t>2018年8月19日-20日，委托黑龙江省洁源检测技术有限公司对该项目的验收监测并出具监测报告表。建设单位根据监测报告表编制验收监测报告，并开展专家评审，并已取得专家评审意见，详见附件。</w:t>
            </w:r>
          </w:p>
          <w:p w14:paraId="176E7AE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left"/>
              <w:textAlignment w:val="auto"/>
              <w:rPr>
                <w:rFonts w:hint="default" w:ascii="Times New Roman" w:hAnsi="Times New Roman" w:eastAsia="宋体" w:cs="宋体"/>
                <w:caps w:val="0"/>
                <w:highlight w:val="none"/>
                <w:lang w:val="en-US" w:eastAsia="zh-CN"/>
              </w:rPr>
            </w:pPr>
            <w:r>
              <w:rPr>
                <w:rFonts w:hint="eastAsia" w:ascii="Times New Roman" w:hAnsi="Times New Roman" w:eastAsia="宋体" w:cs="宋体"/>
                <w:caps w:val="0"/>
                <w:highlight w:val="none"/>
                <w:lang w:val="en-US" w:eastAsia="zh-CN"/>
              </w:rPr>
              <w:t>现有工程已于2020年完成首次排污许可证申领，并已取得排污许可证（见附件4），排污许可证编号为</w:t>
            </w:r>
            <w:r>
              <w:rPr>
                <w:rFonts w:hint="eastAsia" w:ascii="Times New Roman" w:hAnsi="Times New Roman" w:eastAsia="宋体" w:cs="宋体"/>
                <w:bCs w:val="0"/>
                <w:caps w:val="0"/>
                <w:color w:val="000000"/>
                <w:spacing w:val="0"/>
                <w:kern w:val="0"/>
                <w:sz w:val="24"/>
                <w:szCs w:val="24"/>
                <w:highlight w:val="none"/>
                <w:lang w:val="en-US" w:eastAsia="zh-CN" w:bidi="ar"/>
              </w:rPr>
              <w:t>91230300MA19EHM0XM001Q。</w:t>
            </w:r>
            <w:r>
              <w:rPr>
                <w:rFonts w:hint="eastAsia" w:ascii="宋体" w:hAnsi="宋体" w:eastAsia="宋体" w:cs="宋体"/>
                <w:color w:val="auto"/>
                <w:sz w:val="24"/>
                <w:szCs w:val="28"/>
                <w:highlight w:val="none"/>
                <w:lang w:val="en-US" w:eastAsia="zh-CN"/>
              </w:rPr>
              <w:t>现有工程排污许可年报、季报已按要求完成填报，已正常开展例行监测。</w:t>
            </w:r>
          </w:p>
          <w:p w14:paraId="4BBF796A">
            <w:pPr>
              <w:shd w:val="clear"/>
              <w:spacing w:line="360" w:lineRule="auto"/>
              <w:ind w:left="0" w:leftChars="0" w:firstLine="0" w:firstLineChars="0"/>
              <w:jc w:val="left"/>
              <w:rPr>
                <w:rFonts w:hint="eastAsia" w:ascii="Times New Roman" w:hAnsi="Times New Roman" w:eastAsia="宋体" w:cs="宋体"/>
                <w:b/>
                <w:bCs w:val="0"/>
                <w:caps w:val="0"/>
                <w:color w:val="auto"/>
                <w:highlight w:val="none"/>
                <w:lang w:val="en-US" w:eastAsia="zh-CN"/>
              </w:rPr>
            </w:pPr>
            <w:r>
              <w:rPr>
                <w:rFonts w:hint="eastAsia" w:ascii="Times New Roman" w:hAnsi="Times New Roman" w:eastAsia="宋体" w:cs="宋体"/>
                <w:b/>
                <w:bCs w:val="0"/>
                <w:caps w:val="0"/>
                <w:highlight w:val="none"/>
                <w:lang w:val="en-US" w:eastAsia="zh-CN"/>
              </w:rPr>
              <w:t>2.</w:t>
            </w:r>
            <w:r>
              <w:rPr>
                <w:rFonts w:hint="eastAsia" w:ascii="Times New Roman" w:hAnsi="Times New Roman" w:eastAsia="宋体" w:cs="宋体"/>
                <w:b/>
                <w:bCs w:val="0"/>
                <w:caps w:val="0"/>
                <w:color w:val="auto"/>
                <w:highlight w:val="none"/>
                <w:lang w:val="en-US" w:eastAsia="zh-CN"/>
              </w:rPr>
              <w:t>原有项目污染及其防治措施</w:t>
            </w:r>
          </w:p>
          <w:p w14:paraId="405E10C0">
            <w:pPr>
              <w:spacing w:line="360" w:lineRule="auto"/>
              <w:ind w:left="0" w:leftChars="0" w:firstLine="0" w:firstLineChars="0"/>
              <w:jc w:val="left"/>
              <w:rPr>
                <w:rFonts w:hint="eastAsia" w:ascii="Times New Roman" w:hAnsi="Times New Roman" w:eastAsia="宋体" w:cs="宋体"/>
                <w:b/>
                <w:bCs w:val="0"/>
                <w:caps w:val="0"/>
                <w:highlight w:val="none"/>
                <w:lang w:val="en-US" w:eastAsia="zh-CN"/>
              </w:rPr>
            </w:pPr>
            <w:r>
              <w:rPr>
                <w:rFonts w:hint="eastAsia" w:ascii="Times New Roman" w:hAnsi="Times New Roman" w:eastAsia="宋体" w:cs="宋体"/>
                <w:b/>
                <w:bCs w:val="0"/>
                <w:caps w:val="0"/>
                <w:highlight w:val="none"/>
                <w:lang w:val="en-US" w:eastAsia="zh-CN"/>
              </w:rPr>
              <w:t>（1）废气</w:t>
            </w:r>
          </w:p>
          <w:p w14:paraId="048720FD">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宋体"/>
                <w:b w:val="0"/>
                <w:bCs/>
                <w:caps w:val="0"/>
                <w:highlight w:val="none"/>
                <w:lang w:val="en-US" w:eastAsia="zh-CN"/>
              </w:rPr>
            </w:pPr>
            <w:r>
              <w:rPr>
                <w:rFonts w:hint="eastAsia" w:ascii="Times New Roman" w:hAnsi="Times New Roman" w:cs="宋体"/>
                <w:b w:val="0"/>
                <w:bCs/>
                <w:caps w:val="0"/>
                <w:highlight w:val="none"/>
                <w:lang w:val="en-US" w:eastAsia="zh-CN"/>
              </w:rPr>
              <w:t>根据现有工程验收结果及验收监测意见，现有工程碳纳米管烘干车间不设置粉碎工序和</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cs="宋体"/>
                <w:b w:val="0"/>
                <w:bCs/>
                <w:caps w:val="0"/>
                <w:highlight w:val="none"/>
                <w:lang w:val="en-US" w:eastAsia="zh-CN"/>
              </w:rPr>
              <w:t>，参考碳纳米管烘干车间的工艺流程：碳纳米管水料、粉碎、烘干、包装、入库，产生的污染物主要为</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cs="宋体"/>
                <w:b w:val="0"/>
                <w:bCs/>
                <w:caps w:val="0"/>
                <w:highlight w:val="none"/>
                <w:lang w:val="en-US" w:eastAsia="zh-CN"/>
              </w:rPr>
              <w:t>烟气和烘干粉尘，根据验收，碳纳米管水料不进行破碎，不产生烘干粉尘，烘干过程仅产生水蒸气，不属于污染物，并且仅建设一台</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cs="宋体"/>
                <w:b w:val="0"/>
                <w:bCs/>
                <w:caps w:val="0"/>
                <w:highlight w:val="none"/>
                <w:lang w:val="en-US" w:eastAsia="zh-CN"/>
              </w:rPr>
              <w:t>，因此碳纳米管车间不产生任何污染物。其次</w:t>
            </w:r>
            <w:r>
              <w:rPr>
                <w:rFonts w:hint="eastAsia" w:ascii="Times New Roman" w:hAnsi="Times New Roman" w:eastAsia="宋体" w:cs="宋体"/>
                <w:b w:val="0"/>
                <w:bCs/>
                <w:caps w:val="0"/>
                <w:highlight w:val="none"/>
                <w:lang w:val="en-US" w:eastAsia="zh-CN"/>
              </w:rPr>
              <w:t>根据现场实际勘察，碳纳米管车间处于停产状态，仅膨胀石墨车间进行生产，膨胀石墨烘干车间的筛分、烘干、包装产生的颗粒物经集气罩收集后经布袋除尘器处理后通过1根15m高排气筒DA002有组织排放。因此现有工程常规监测仅针对DA002开展常规监测。根据2024年2月监测结果（见附件5）作为达标判定依据</w:t>
            </w:r>
            <w:r>
              <w:rPr>
                <w:rFonts w:hint="eastAsia" w:ascii="Times New Roman" w:hAnsi="Times New Roman" w:cs="宋体"/>
                <w:b w:val="0"/>
                <w:bCs/>
                <w:caps w:val="0"/>
                <w:highlight w:val="none"/>
                <w:lang w:val="en-US" w:eastAsia="zh-CN"/>
              </w:rPr>
              <w:t>。</w:t>
            </w:r>
            <w:r>
              <w:rPr>
                <w:rFonts w:hint="eastAsia" w:ascii="Times New Roman" w:hAnsi="Times New Roman" w:eastAsia="宋体" w:cs="宋体"/>
                <w:b w:val="0"/>
                <w:bCs/>
                <w:caps w:val="0"/>
                <w:highlight w:val="none"/>
                <w:lang w:val="en-US" w:eastAsia="zh-CN"/>
              </w:rPr>
              <w:t>废气监测结果如下表：</w:t>
            </w:r>
          </w:p>
          <w:p w14:paraId="14B2BA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bCs w:val="0"/>
                <w:caps w:val="0"/>
                <w:sz w:val="21"/>
                <w:szCs w:val="21"/>
                <w:highlight w:val="none"/>
                <w:lang w:val="en-US" w:eastAsia="zh-CN"/>
              </w:rPr>
            </w:pPr>
            <w:r>
              <w:rPr>
                <w:rFonts w:hint="eastAsia" w:ascii="Times New Roman" w:hAnsi="Times New Roman" w:eastAsia="宋体" w:cs="宋体"/>
                <w:b/>
                <w:bCs w:val="0"/>
                <w:caps w:val="0"/>
                <w:sz w:val="21"/>
                <w:szCs w:val="21"/>
                <w:highlight w:val="none"/>
                <w:lang w:val="en-US" w:eastAsia="zh-CN"/>
              </w:rPr>
              <w:t xml:space="preserve">表 </w:t>
            </w:r>
            <w:r>
              <w:rPr>
                <w:rFonts w:hint="default" w:ascii="Times New Roman" w:hAnsi="Times New Roman" w:eastAsia="宋体" w:cs="宋体"/>
                <w:b/>
                <w:bCs w:val="0"/>
                <w:caps w:val="0"/>
                <w:sz w:val="21"/>
                <w:szCs w:val="21"/>
                <w:highlight w:val="none"/>
                <w:lang w:val="en-US" w:eastAsia="zh-CN"/>
              </w:rPr>
              <w:t>2-</w:t>
            </w:r>
            <w:r>
              <w:rPr>
                <w:rFonts w:hint="eastAsia" w:ascii="Times New Roman" w:hAnsi="Times New Roman" w:cs="宋体"/>
                <w:b/>
                <w:bCs w:val="0"/>
                <w:caps w:val="0"/>
                <w:sz w:val="21"/>
                <w:szCs w:val="21"/>
                <w:highlight w:val="none"/>
                <w:lang w:val="en-US" w:eastAsia="zh-CN"/>
              </w:rPr>
              <w:t>5</w:t>
            </w:r>
            <w:r>
              <w:rPr>
                <w:rFonts w:hint="eastAsia" w:ascii="Times New Roman" w:hAnsi="Times New Roman" w:eastAsia="宋体" w:cs="宋体"/>
                <w:b/>
                <w:bCs w:val="0"/>
                <w:caps w:val="0"/>
                <w:sz w:val="21"/>
                <w:szCs w:val="21"/>
                <w:highlight w:val="none"/>
                <w:lang w:val="en-US" w:eastAsia="zh-CN"/>
              </w:rPr>
              <w:t xml:space="preserve"> </w:t>
            </w:r>
            <w:r>
              <w:rPr>
                <w:rFonts w:hint="eastAsia" w:ascii="Times New Roman" w:hAnsi="Times New Roman" w:eastAsia="宋体" w:cs="宋体"/>
                <w:b/>
                <w:bCs w:val="0"/>
                <w:caps w:val="0"/>
                <w:sz w:val="21"/>
                <w:szCs w:val="21"/>
                <w:highlight w:val="none"/>
                <w:lang w:val="en-US" w:eastAsia="zh-CN"/>
              </w:rPr>
              <w:t>导热油炉</w:t>
            </w:r>
            <w:r>
              <w:rPr>
                <w:rFonts w:hint="eastAsia" w:ascii="Times New Roman" w:hAnsi="Times New Roman" w:eastAsia="宋体" w:cs="宋体"/>
                <w:b/>
                <w:bCs w:val="0"/>
                <w:caps w:val="0"/>
                <w:sz w:val="21"/>
                <w:szCs w:val="21"/>
                <w:highlight w:val="none"/>
                <w:lang w:val="en-US" w:eastAsia="zh-CN"/>
              </w:rPr>
              <w:t>有组织废气监测结果</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10"/>
              <w:gridCol w:w="1042"/>
              <w:gridCol w:w="819"/>
              <w:gridCol w:w="734"/>
              <w:gridCol w:w="1093"/>
              <w:gridCol w:w="1094"/>
              <w:gridCol w:w="1778"/>
            </w:tblGrid>
            <w:tr w14:paraId="05E519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tcBorders>
                    <w:tl2br w:val="nil"/>
                    <w:tr2bl w:val="nil"/>
                  </w:tcBorders>
                  <w:shd w:val="clear" w:color="auto" w:fill="auto"/>
                  <w:vAlign w:val="center"/>
                </w:tcPr>
                <w:p w14:paraId="1E156ED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分析日期</w:t>
                  </w:r>
                </w:p>
              </w:tc>
              <w:tc>
                <w:tcPr>
                  <w:tcW w:w="670" w:type="pct"/>
                  <w:tcBorders>
                    <w:tl2br w:val="nil"/>
                    <w:tr2bl w:val="nil"/>
                  </w:tcBorders>
                  <w:shd w:val="clear" w:color="auto" w:fill="auto"/>
                  <w:vAlign w:val="center"/>
                </w:tcPr>
                <w:p w14:paraId="40449E3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检测项目</w:t>
                  </w:r>
                </w:p>
              </w:tc>
              <w:tc>
                <w:tcPr>
                  <w:tcW w:w="526" w:type="pct"/>
                  <w:tcBorders>
                    <w:tl2br w:val="nil"/>
                    <w:tr2bl w:val="nil"/>
                  </w:tcBorders>
                  <w:shd w:val="clear" w:color="auto" w:fill="auto"/>
                  <w:vAlign w:val="center"/>
                </w:tcPr>
                <w:p w14:paraId="4BAB4A2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检测点位</w:t>
                  </w:r>
                </w:p>
              </w:tc>
              <w:tc>
                <w:tcPr>
                  <w:tcW w:w="472" w:type="pct"/>
                  <w:tcBorders>
                    <w:tl2br w:val="nil"/>
                    <w:tr2bl w:val="nil"/>
                  </w:tcBorders>
                  <w:shd w:val="clear" w:color="auto" w:fill="auto"/>
                  <w:vAlign w:val="center"/>
                </w:tcPr>
                <w:p w14:paraId="0EA1F3F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单位</w:t>
                  </w:r>
                </w:p>
              </w:tc>
              <w:tc>
                <w:tcPr>
                  <w:tcW w:w="703" w:type="pct"/>
                  <w:tcBorders>
                    <w:tl2br w:val="nil"/>
                    <w:tr2bl w:val="nil"/>
                  </w:tcBorders>
                  <w:shd w:val="clear" w:color="auto" w:fill="auto"/>
                  <w:vAlign w:val="center"/>
                </w:tcPr>
                <w:p w14:paraId="574F6B6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实测</w:t>
                  </w:r>
                </w:p>
              </w:tc>
              <w:tc>
                <w:tcPr>
                  <w:tcW w:w="704" w:type="pct"/>
                  <w:tcBorders>
                    <w:tl2br w:val="nil"/>
                    <w:tr2bl w:val="nil"/>
                  </w:tcBorders>
                  <w:shd w:val="clear" w:color="auto" w:fill="auto"/>
                  <w:vAlign w:val="center"/>
                </w:tcPr>
                <w:p w14:paraId="64B246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折算</w:t>
                  </w:r>
                </w:p>
              </w:tc>
              <w:tc>
                <w:tcPr>
                  <w:tcW w:w="1144" w:type="pct"/>
                  <w:tcBorders>
                    <w:tl2br w:val="nil"/>
                    <w:tr2bl w:val="nil"/>
                  </w:tcBorders>
                  <w:shd w:val="clear" w:color="auto" w:fill="auto"/>
                  <w:vAlign w:val="center"/>
                </w:tcPr>
                <w:p w14:paraId="6922A3C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《锅炉大气污染物排放标准》</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GB13271-2014</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表2</w:t>
                  </w:r>
                </w:p>
              </w:tc>
            </w:tr>
            <w:tr w14:paraId="7CC3CF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454" w:hRule="atLeast"/>
                <w:jc w:val="center"/>
              </w:trPr>
              <w:tc>
                <w:tcPr>
                  <w:tcW w:w="778" w:type="pct"/>
                  <w:vMerge w:val="restart"/>
                  <w:tcBorders>
                    <w:tl2br w:val="nil"/>
                    <w:tr2bl w:val="nil"/>
                  </w:tcBorders>
                  <w:shd w:val="clear" w:color="auto" w:fill="auto"/>
                  <w:vAlign w:val="center"/>
                </w:tcPr>
                <w:p w14:paraId="3931279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2024</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02</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28~2024</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02</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29</w:t>
                  </w:r>
                </w:p>
              </w:tc>
              <w:tc>
                <w:tcPr>
                  <w:tcW w:w="670" w:type="pct"/>
                  <w:vMerge w:val="restart"/>
                  <w:tcBorders>
                    <w:tl2br w:val="nil"/>
                    <w:tr2bl w:val="nil"/>
                  </w:tcBorders>
                  <w:shd w:val="clear" w:color="auto" w:fill="auto"/>
                  <w:vAlign w:val="center"/>
                </w:tcPr>
                <w:p w14:paraId="0C1DCDD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颗粒物</w:t>
                  </w:r>
                </w:p>
              </w:tc>
              <w:tc>
                <w:tcPr>
                  <w:tcW w:w="526" w:type="pct"/>
                  <w:vMerge w:val="restart"/>
                  <w:tcBorders>
                    <w:tl2br w:val="nil"/>
                    <w:tr2bl w:val="nil"/>
                  </w:tcBorders>
                  <w:shd w:val="clear" w:color="auto" w:fill="auto"/>
                  <w:textDirection w:val="tbRlV"/>
                  <w:vAlign w:val="center"/>
                </w:tcPr>
                <w:p w14:paraId="64CE46B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布袋除尘器后</w:t>
                  </w:r>
                </w:p>
              </w:tc>
              <w:tc>
                <w:tcPr>
                  <w:tcW w:w="472" w:type="pct"/>
                  <w:vMerge w:val="restart"/>
                  <w:tcBorders>
                    <w:tl2br w:val="nil"/>
                    <w:tr2bl w:val="nil"/>
                  </w:tcBorders>
                  <w:shd w:val="clear" w:color="auto" w:fill="auto"/>
                  <w:vAlign w:val="center"/>
                </w:tcPr>
                <w:p w14:paraId="4F9827C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mg/m</w:t>
                  </w:r>
                  <w:r>
                    <w:rPr>
                      <w:rFonts w:hint="eastAsia" w:ascii="Times New Roman" w:hAnsi="Times New Roman" w:eastAsia="宋体" w:cs="宋体"/>
                      <w:bCs/>
                      <w:i w:val="0"/>
                      <w:iCs w:val="0"/>
                      <w:caps w:val="0"/>
                      <w:color w:val="000000"/>
                      <w:kern w:val="0"/>
                      <w:sz w:val="21"/>
                      <w:szCs w:val="21"/>
                      <w:highlight w:val="none"/>
                      <w:u w:val="none"/>
                      <w:vertAlign w:val="superscript"/>
                      <w:lang w:val="en-US" w:eastAsia="zh-CN" w:bidi="ar"/>
                    </w:rPr>
                    <w:t>3</w:t>
                  </w:r>
                </w:p>
              </w:tc>
              <w:tc>
                <w:tcPr>
                  <w:tcW w:w="703" w:type="pct"/>
                  <w:tcBorders>
                    <w:tl2br w:val="nil"/>
                    <w:tr2bl w:val="nil"/>
                  </w:tcBorders>
                  <w:shd w:val="clear" w:color="auto" w:fill="auto"/>
                  <w:vAlign w:val="center"/>
                </w:tcPr>
                <w:p w14:paraId="2F24C3D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23</w:t>
                  </w:r>
                </w:p>
              </w:tc>
              <w:tc>
                <w:tcPr>
                  <w:tcW w:w="704" w:type="pct"/>
                  <w:tcBorders>
                    <w:tl2br w:val="nil"/>
                    <w:tr2bl w:val="nil"/>
                  </w:tcBorders>
                  <w:shd w:val="clear" w:color="auto" w:fill="auto"/>
                  <w:vAlign w:val="center"/>
                </w:tcPr>
                <w:p w14:paraId="77FD272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43</w:t>
                  </w:r>
                </w:p>
              </w:tc>
              <w:tc>
                <w:tcPr>
                  <w:tcW w:w="1144" w:type="pct"/>
                  <w:vMerge w:val="restart"/>
                  <w:tcBorders>
                    <w:tl2br w:val="nil"/>
                    <w:tr2bl w:val="nil"/>
                  </w:tcBorders>
                  <w:shd w:val="clear" w:color="auto" w:fill="auto"/>
                  <w:vAlign w:val="center"/>
                </w:tcPr>
                <w:p w14:paraId="255DB6A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50</w:t>
                  </w:r>
                </w:p>
              </w:tc>
            </w:tr>
            <w:tr w14:paraId="782A89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5852CB2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continue"/>
                  <w:tcBorders>
                    <w:tl2br w:val="nil"/>
                    <w:tr2bl w:val="nil"/>
                  </w:tcBorders>
                  <w:shd w:val="clear" w:color="auto" w:fill="auto"/>
                  <w:vAlign w:val="center"/>
                </w:tcPr>
                <w:p w14:paraId="5378528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textDirection w:val="tbRlV"/>
                  <w:vAlign w:val="center"/>
                </w:tcPr>
                <w:p w14:paraId="2FD873E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5C519EE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703" w:type="pct"/>
                  <w:tcBorders>
                    <w:tl2br w:val="nil"/>
                    <w:tr2bl w:val="nil"/>
                  </w:tcBorders>
                  <w:shd w:val="clear" w:color="auto" w:fill="auto"/>
                  <w:vAlign w:val="center"/>
                </w:tcPr>
                <w:p w14:paraId="2524208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22</w:t>
                  </w:r>
                </w:p>
              </w:tc>
              <w:tc>
                <w:tcPr>
                  <w:tcW w:w="704" w:type="pct"/>
                  <w:tcBorders>
                    <w:tl2br w:val="nil"/>
                    <w:tr2bl w:val="nil"/>
                  </w:tcBorders>
                  <w:shd w:val="clear" w:color="auto" w:fill="auto"/>
                  <w:vAlign w:val="center"/>
                </w:tcPr>
                <w:p w14:paraId="0A16776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39</w:t>
                  </w:r>
                </w:p>
              </w:tc>
              <w:tc>
                <w:tcPr>
                  <w:tcW w:w="1144" w:type="pct"/>
                  <w:vMerge w:val="continue"/>
                  <w:tcBorders>
                    <w:tl2br w:val="nil"/>
                    <w:tr2bl w:val="nil"/>
                  </w:tcBorders>
                  <w:shd w:val="clear" w:color="auto" w:fill="auto"/>
                  <w:vAlign w:val="center"/>
                </w:tcPr>
                <w:p w14:paraId="2D539B1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11FC69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5970B6E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continue"/>
                  <w:tcBorders>
                    <w:tl2br w:val="nil"/>
                    <w:tr2bl w:val="nil"/>
                  </w:tcBorders>
                  <w:shd w:val="clear" w:color="auto" w:fill="auto"/>
                  <w:vAlign w:val="center"/>
                </w:tcPr>
                <w:p w14:paraId="5659715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textDirection w:val="tbRlV"/>
                  <w:vAlign w:val="center"/>
                </w:tcPr>
                <w:p w14:paraId="5A0BD5B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2597BD8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703" w:type="pct"/>
                  <w:tcBorders>
                    <w:tl2br w:val="nil"/>
                    <w:tr2bl w:val="nil"/>
                  </w:tcBorders>
                  <w:shd w:val="clear" w:color="auto" w:fill="auto"/>
                  <w:vAlign w:val="center"/>
                </w:tcPr>
                <w:p w14:paraId="035F7C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23</w:t>
                  </w:r>
                </w:p>
              </w:tc>
              <w:tc>
                <w:tcPr>
                  <w:tcW w:w="704" w:type="pct"/>
                  <w:tcBorders>
                    <w:tl2br w:val="nil"/>
                    <w:tr2bl w:val="nil"/>
                  </w:tcBorders>
                  <w:shd w:val="clear" w:color="auto" w:fill="auto"/>
                  <w:vAlign w:val="center"/>
                </w:tcPr>
                <w:p w14:paraId="4035C88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43</w:t>
                  </w:r>
                </w:p>
              </w:tc>
              <w:tc>
                <w:tcPr>
                  <w:tcW w:w="1144" w:type="pct"/>
                  <w:vMerge w:val="continue"/>
                  <w:tcBorders>
                    <w:tl2br w:val="nil"/>
                    <w:tr2bl w:val="nil"/>
                  </w:tcBorders>
                  <w:shd w:val="clear" w:color="auto" w:fill="auto"/>
                  <w:vAlign w:val="center"/>
                </w:tcPr>
                <w:p w14:paraId="530FAC8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0740BF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3A6CF54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restart"/>
                  <w:tcBorders>
                    <w:tl2br w:val="nil"/>
                    <w:tr2bl w:val="nil"/>
                  </w:tcBorders>
                  <w:shd w:val="clear" w:color="auto" w:fill="auto"/>
                  <w:vAlign w:val="center"/>
                </w:tcPr>
                <w:p w14:paraId="7140920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二氧化硫</w:t>
                  </w:r>
                </w:p>
              </w:tc>
              <w:tc>
                <w:tcPr>
                  <w:tcW w:w="526" w:type="pct"/>
                  <w:vMerge w:val="continue"/>
                  <w:tcBorders>
                    <w:tl2br w:val="nil"/>
                    <w:tr2bl w:val="nil"/>
                  </w:tcBorders>
                  <w:shd w:val="clear" w:color="auto" w:fill="auto"/>
                  <w:textDirection w:val="tbRlV"/>
                  <w:vAlign w:val="center"/>
                </w:tcPr>
                <w:p w14:paraId="1C49D14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restart"/>
                  <w:tcBorders>
                    <w:tl2br w:val="nil"/>
                    <w:tr2bl w:val="nil"/>
                  </w:tcBorders>
                  <w:shd w:val="clear" w:color="auto" w:fill="auto"/>
                  <w:vAlign w:val="center"/>
                </w:tcPr>
                <w:p w14:paraId="111F8E0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mg/m</w:t>
                  </w:r>
                  <w:r>
                    <w:rPr>
                      <w:rFonts w:hint="eastAsia" w:ascii="Times New Roman" w:hAnsi="Times New Roman" w:eastAsia="宋体" w:cs="宋体"/>
                      <w:bCs/>
                      <w:i w:val="0"/>
                      <w:iCs w:val="0"/>
                      <w:caps w:val="0"/>
                      <w:color w:val="000000"/>
                      <w:kern w:val="0"/>
                      <w:sz w:val="21"/>
                      <w:szCs w:val="21"/>
                      <w:highlight w:val="none"/>
                      <w:u w:val="none"/>
                      <w:vertAlign w:val="superscript"/>
                      <w:lang w:val="en-US" w:eastAsia="zh-CN" w:bidi="ar"/>
                    </w:rPr>
                    <w:t>3</w:t>
                  </w:r>
                </w:p>
              </w:tc>
              <w:tc>
                <w:tcPr>
                  <w:tcW w:w="703" w:type="pct"/>
                  <w:tcBorders>
                    <w:tl2br w:val="nil"/>
                    <w:tr2bl w:val="nil"/>
                  </w:tcBorders>
                  <w:shd w:val="clear" w:color="auto" w:fill="auto"/>
                  <w:vAlign w:val="center"/>
                </w:tcPr>
                <w:p w14:paraId="7879B8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76</w:t>
                  </w:r>
                </w:p>
              </w:tc>
              <w:tc>
                <w:tcPr>
                  <w:tcW w:w="704" w:type="pct"/>
                  <w:tcBorders>
                    <w:tl2br w:val="nil"/>
                    <w:tr2bl w:val="nil"/>
                  </w:tcBorders>
                  <w:shd w:val="clear" w:color="auto" w:fill="auto"/>
                  <w:vAlign w:val="center"/>
                </w:tcPr>
                <w:p w14:paraId="0FE7C56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140</w:t>
                  </w:r>
                </w:p>
              </w:tc>
              <w:tc>
                <w:tcPr>
                  <w:tcW w:w="1144" w:type="pct"/>
                  <w:vMerge w:val="restart"/>
                  <w:tcBorders>
                    <w:tl2br w:val="nil"/>
                    <w:tr2bl w:val="nil"/>
                  </w:tcBorders>
                  <w:shd w:val="clear" w:color="auto" w:fill="auto"/>
                  <w:vAlign w:val="center"/>
                </w:tcPr>
                <w:p w14:paraId="7E52A86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300</w:t>
                  </w:r>
                </w:p>
              </w:tc>
            </w:tr>
            <w:tr w14:paraId="1EB57E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38C8842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continue"/>
                  <w:tcBorders>
                    <w:tl2br w:val="nil"/>
                    <w:tr2bl w:val="nil"/>
                  </w:tcBorders>
                  <w:shd w:val="clear" w:color="auto" w:fill="auto"/>
                  <w:vAlign w:val="center"/>
                </w:tcPr>
                <w:p w14:paraId="5775334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textDirection w:val="tbRlV"/>
                  <w:vAlign w:val="center"/>
                </w:tcPr>
                <w:p w14:paraId="6CFB665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543B87A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703" w:type="pct"/>
                  <w:tcBorders>
                    <w:tl2br w:val="nil"/>
                    <w:tr2bl w:val="nil"/>
                  </w:tcBorders>
                  <w:shd w:val="clear" w:color="auto" w:fill="auto"/>
                  <w:vAlign w:val="center"/>
                </w:tcPr>
                <w:p w14:paraId="4725F2F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71</w:t>
                  </w:r>
                </w:p>
              </w:tc>
              <w:tc>
                <w:tcPr>
                  <w:tcW w:w="704" w:type="pct"/>
                  <w:tcBorders>
                    <w:tl2br w:val="nil"/>
                    <w:tr2bl w:val="nil"/>
                  </w:tcBorders>
                  <w:shd w:val="clear" w:color="auto" w:fill="auto"/>
                  <w:vAlign w:val="center"/>
                </w:tcPr>
                <w:p w14:paraId="73E714F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127</w:t>
                  </w:r>
                </w:p>
              </w:tc>
              <w:tc>
                <w:tcPr>
                  <w:tcW w:w="1144" w:type="pct"/>
                  <w:vMerge w:val="continue"/>
                  <w:tcBorders>
                    <w:tl2br w:val="nil"/>
                    <w:tr2bl w:val="nil"/>
                  </w:tcBorders>
                  <w:shd w:val="clear" w:color="auto" w:fill="auto"/>
                  <w:vAlign w:val="center"/>
                </w:tcPr>
                <w:p w14:paraId="166F426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29CF80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4864BD8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continue"/>
                  <w:tcBorders>
                    <w:tl2br w:val="nil"/>
                    <w:tr2bl w:val="nil"/>
                  </w:tcBorders>
                  <w:shd w:val="clear" w:color="auto" w:fill="auto"/>
                  <w:vAlign w:val="center"/>
                </w:tcPr>
                <w:p w14:paraId="4340CAD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textDirection w:val="tbRlV"/>
                  <w:vAlign w:val="center"/>
                </w:tcPr>
                <w:p w14:paraId="4B10835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1A3A46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703" w:type="pct"/>
                  <w:tcBorders>
                    <w:tl2br w:val="nil"/>
                    <w:tr2bl w:val="nil"/>
                  </w:tcBorders>
                  <w:shd w:val="clear" w:color="auto" w:fill="auto"/>
                  <w:vAlign w:val="center"/>
                </w:tcPr>
                <w:p w14:paraId="2CACADE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73</w:t>
                  </w:r>
                </w:p>
              </w:tc>
              <w:tc>
                <w:tcPr>
                  <w:tcW w:w="704" w:type="pct"/>
                  <w:tcBorders>
                    <w:tl2br w:val="nil"/>
                    <w:tr2bl w:val="nil"/>
                  </w:tcBorders>
                  <w:shd w:val="clear" w:color="auto" w:fill="auto"/>
                  <w:vAlign w:val="center"/>
                </w:tcPr>
                <w:p w14:paraId="02294D5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136</w:t>
                  </w:r>
                </w:p>
              </w:tc>
              <w:tc>
                <w:tcPr>
                  <w:tcW w:w="1144" w:type="pct"/>
                  <w:vMerge w:val="continue"/>
                  <w:tcBorders>
                    <w:tl2br w:val="nil"/>
                    <w:tr2bl w:val="nil"/>
                  </w:tcBorders>
                  <w:shd w:val="clear" w:color="auto" w:fill="auto"/>
                  <w:vAlign w:val="center"/>
                </w:tcPr>
                <w:p w14:paraId="2D7A863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452FF4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2265976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restart"/>
                  <w:tcBorders>
                    <w:tl2br w:val="nil"/>
                    <w:tr2bl w:val="nil"/>
                  </w:tcBorders>
                  <w:shd w:val="clear" w:color="auto" w:fill="auto"/>
                  <w:vAlign w:val="center"/>
                </w:tcPr>
                <w:p w14:paraId="7FF6F22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氮氧化物</w:t>
                  </w:r>
                </w:p>
              </w:tc>
              <w:tc>
                <w:tcPr>
                  <w:tcW w:w="526" w:type="pct"/>
                  <w:vMerge w:val="continue"/>
                  <w:tcBorders>
                    <w:tl2br w:val="nil"/>
                    <w:tr2bl w:val="nil"/>
                  </w:tcBorders>
                  <w:shd w:val="clear" w:color="auto" w:fill="auto"/>
                  <w:textDirection w:val="tbRlV"/>
                  <w:vAlign w:val="center"/>
                </w:tcPr>
                <w:p w14:paraId="3F14044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restart"/>
                  <w:tcBorders>
                    <w:tl2br w:val="nil"/>
                    <w:tr2bl w:val="nil"/>
                  </w:tcBorders>
                  <w:shd w:val="clear" w:color="auto" w:fill="auto"/>
                  <w:vAlign w:val="center"/>
                </w:tcPr>
                <w:p w14:paraId="19795B4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mg/m</w:t>
                  </w:r>
                  <w:r>
                    <w:rPr>
                      <w:rFonts w:hint="eastAsia" w:ascii="Times New Roman" w:hAnsi="Times New Roman" w:eastAsia="宋体" w:cs="宋体"/>
                      <w:bCs/>
                      <w:i w:val="0"/>
                      <w:iCs w:val="0"/>
                      <w:caps w:val="0"/>
                      <w:color w:val="000000"/>
                      <w:kern w:val="0"/>
                      <w:sz w:val="21"/>
                      <w:szCs w:val="21"/>
                      <w:highlight w:val="none"/>
                      <w:u w:val="none"/>
                      <w:vertAlign w:val="superscript"/>
                      <w:lang w:val="en-US" w:eastAsia="zh-CN" w:bidi="ar"/>
                    </w:rPr>
                    <w:t>3</w:t>
                  </w:r>
                </w:p>
              </w:tc>
              <w:tc>
                <w:tcPr>
                  <w:tcW w:w="703" w:type="pct"/>
                  <w:tcBorders>
                    <w:tl2br w:val="nil"/>
                    <w:tr2bl w:val="nil"/>
                  </w:tcBorders>
                  <w:shd w:val="clear" w:color="auto" w:fill="auto"/>
                  <w:vAlign w:val="center"/>
                </w:tcPr>
                <w:p w14:paraId="065B246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81</w:t>
                  </w:r>
                </w:p>
              </w:tc>
              <w:tc>
                <w:tcPr>
                  <w:tcW w:w="704" w:type="pct"/>
                  <w:tcBorders>
                    <w:tl2br w:val="nil"/>
                    <w:tr2bl w:val="nil"/>
                  </w:tcBorders>
                  <w:shd w:val="clear" w:color="auto" w:fill="auto"/>
                  <w:vAlign w:val="center"/>
                </w:tcPr>
                <w:p w14:paraId="18EB512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150</w:t>
                  </w:r>
                </w:p>
              </w:tc>
              <w:tc>
                <w:tcPr>
                  <w:tcW w:w="1144" w:type="pct"/>
                  <w:vMerge w:val="restart"/>
                  <w:tcBorders>
                    <w:tl2br w:val="nil"/>
                    <w:tr2bl w:val="nil"/>
                  </w:tcBorders>
                  <w:shd w:val="clear" w:color="auto" w:fill="auto"/>
                  <w:vAlign w:val="center"/>
                </w:tcPr>
                <w:p w14:paraId="1CAEEF5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300</w:t>
                  </w:r>
                </w:p>
              </w:tc>
            </w:tr>
            <w:tr w14:paraId="07016A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279B62E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continue"/>
                  <w:tcBorders>
                    <w:tl2br w:val="nil"/>
                    <w:tr2bl w:val="nil"/>
                  </w:tcBorders>
                  <w:shd w:val="clear" w:color="auto" w:fill="auto"/>
                  <w:vAlign w:val="center"/>
                </w:tcPr>
                <w:p w14:paraId="1C1208F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textDirection w:val="tbRlV"/>
                  <w:vAlign w:val="center"/>
                </w:tcPr>
                <w:p w14:paraId="72B425F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1A35DE3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703" w:type="pct"/>
                  <w:tcBorders>
                    <w:tl2br w:val="nil"/>
                    <w:tr2bl w:val="nil"/>
                  </w:tcBorders>
                  <w:shd w:val="clear" w:color="auto" w:fill="auto"/>
                  <w:vAlign w:val="center"/>
                </w:tcPr>
                <w:p w14:paraId="72A5D41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75</w:t>
                  </w:r>
                </w:p>
              </w:tc>
              <w:tc>
                <w:tcPr>
                  <w:tcW w:w="704" w:type="pct"/>
                  <w:tcBorders>
                    <w:tl2br w:val="nil"/>
                    <w:tr2bl w:val="nil"/>
                  </w:tcBorders>
                  <w:shd w:val="clear" w:color="auto" w:fill="auto"/>
                  <w:vAlign w:val="center"/>
                </w:tcPr>
                <w:p w14:paraId="6D76194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134</w:t>
                  </w:r>
                </w:p>
              </w:tc>
              <w:tc>
                <w:tcPr>
                  <w:tcW w:w="1144" w:type="pct"/>
                  <w:vMerge w:val="continue"/>
                  <w:tcBorders>
                    <w:tl2br w:val="nil"/>
                    <w:tr2bl w:val="nil"/>
                  </w:tcBorders>
                  <w:shd w:val="clear" w:color="auto" w:fill="auto"/>
                  <w:vAlign w:val="center"/>
                </w:tcPr>
                <w:p w14:paraId="32CAE82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34E7EC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6377FAB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continue"/>
                  <w:tcBorders>
                    <w:tl2br w:val="nil"/>
                    <w:tr2bl w:val="nil"/>
                  </w:tcBorders>
                  <w:shd w:val="clear" w:color="auto" w:fill="auto"/>
                  <w:vAlign w:val="center"/>
                </w:tcPr>
                <w:p w14:paraId="6175B9A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textDirection w:val="tbRlV"/>
                  <w:vAlign w:val="center"/>
                </w:tcPr>
                <w:p w14:paraId="4190611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4DC96D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703" w:type="pct"/>
                  <w:tcBorders>
                    <w:tl2br w:val="nil"/>
                    <w:tr2bl w:val="nil"/>
                  </w:tcBorders>
                  <w:shd w:val="clear" w:color="auto" w:fill="auto"/>
                  <w:vAlign w:val="center"/>
                </w:tcPr>
                <w:p w14:paraId="5AB8E55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85</w:t>
                  </w:r>
                </w:p>
              </w:tc>
              <w:tc>
                <w:tcPr>
                  <w:tcW w:w="704" w:type="pct"/>
                  <w:tcBorders>
                    <w:tl2br w:val="nil"/>
                    <w:tr2bl w:val="nil"/>
                  </w:tcBorders>
                  <w:shd w:val="clear" w:color="auto" w:fill="auto"/>
                  <w:vAlign w:val="center"/>
                </w:tcPr>
                <w:p w14:paraId="7B50B3B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161</w:t>
                  </w:r>
                </w:p>
              </w:tc>
              <w:tc>
                <w:tcPr>
                  <w:tcW w:w="1144" w:type="pct"/>
                  <w:vMerge w:val="continue"/>
                  <w:tcBorders>
                    <w:tl2br w:val="nil"/>
                    <w:tr2bl w:val="nil"/>
                  </w:tcBorders>
                  <w:shd w:val="clear" w:color="auto" w:fill="auto"/>
                  <w:vAlign w:val="center"/>
                </w:tcPr>
                <w:p w14:paraId="5C49F1A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31A73E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10CF029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restart"/>
                  <w:tcBorders>
                    <w:tl2br w:val="nil"/>
                    <w:tr2bl w:val="nil"/>
                  </w:tcBorders>
                  <w:shd w:val="clear" w:color="auto" w:fill="auto"/>
                  <w:vAlign w:val="center"/>
                </w:tcPr>
                <w:p w14:paraId="715890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汞及其化合物</w:t>
                  </w:r>
                </w:p>
              </w:tc>
              <w:tc>
                <w:tcPr>
                  <w:tcW w:w="526" w:type="pct"/>
                  <w:vMerge w:val="continue"/>
                  <w:tcBorders>
                    <w:tl2br w:val="nil"/>
                    <w:tr2bl w:val="nil"/>
                  </w:tcBorders>
                  <w:shd w:val="clear" w:color="auto" w:fill="auto"/>
                  <w:textDirection w:val="tbRlV"/>
                  <w:vAlign w:val="center"/>
                </w:tcPr>
                <w:p w14:paraId="2B44E2F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restart"/>
                  <w:tcBorders>
                    <w:tl2br w:val="nil"/>
                    <w:tr2bl w:val="nil"/>
                  </w:tcBorders>
                  <w:shd w:val="clear" w:color="auto" w:fill="auto"/>
                  <w:vAlign w:val="center"/>
                </w:tcPr>
                <w:p w14:paraId="71BD164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mg/m</w:t>
                  </w:r>
                  <w:r>
                    <w:rPr>
                      <w:rFonts w:hint="eastAsia" w:ascii="Times New Roman" w:hAnsi="Times New Roman" w:eastAsia="宋体" w:cs="宋体"/>
                      <w:bCs/>
                      <w:i w:val="0"/>
                      <w:iCs w:val="0"/>
                      <w:caps w:val="0"/>
                      <w:color w:val="000000"/>
                      <w:kern w:val="0"/>
                      <w:sz w:val="21"/>
                      <w:szCs w:val="21"/>
                      <w:highlight w:val="none"/>
                      <w:u w:val="none"/>
                      <w:vertAlign w:val="superscript"/>
                      <w:lang w:val="en-US" w:eastAsia="zh-CN" w:bidi="ar"/>
                    </w:rPr>
                    <w:t>3</w:t>
                  </w:r>
                </w:p>
              </w:tc>
              <w:tc>
                <w:tcPr>
                  <w:tcW w:w="703" w:type="pct"/>
                  <w:tcBorders>
                    <w:tl2br w:val="nil"/>
                    <w:tr2bl w:val="nil"/>
                  </w:tcBorders>
                  <w:shd w:val="clear" w:color="auto" w:fill="auto"/>
                  <w:vAlign w:val="center"/>
                </w:tcPr>
                <w:p w14:paraId="18B1693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&lt;0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000003</w:t>
                  </w:r>
                </w:p>
              </w:tc>
              <w:tc>
                <w:tcPr>
                  <w:tcW w:w="704" w:type="pct"/>
                  <w:tcBorders>
                    <w:tl2br w:val="nil"/>
                    <w:tr2bl w:val="nil"/>
                  </w:tcBorders>
                  <w:shd w:val="clear" w:color="auto" w:fill="auto"/>
                  <w:vAlign w:val="center"/>
                </w:tcPr>
                <w:p w14:paraId="5B76FEF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&lt;0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000006</w:t>
                  </w:r>
                </w:p>
              </w:tc>
              <w:tc>
                <w:tcPr>
                  <w:tcW w:w="1144" w:type="pct"/>
                  <w:vMerge w:val="restart"/>
                  <w:tcBorders>
                    <w:tl2br w:val="nil"/>
                    <w:tr2bl w:val="nil"/>
                  </w:tcBorders>
                  <w:shd w:val="clear" w:color="auto" w:fill="auto"/>
                  <w:vAlign w:val="center"/>
                </w:tcPr>
                <w:p w14:paraId="452A0FF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05</w:t>
                  </w:r>
                </w:p>
              </w:tc>
            </w:tr>
            <w:tr w14:paraId="717736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28A3231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continue"/>
                  <w:tcBorders>
                    <w:tl2br w:val="nil"/>
                    <w:tr2bl w:val="nil"/>
                  </w:tcBorders>
                  <w:shd w:val="clear" w:color="auto" w:fill="auto"/>
                  <w:vAlign w:val="center"/>
                </w:tcPr>
                <w:p w14:paraId="6E013E1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textDirection w:val="tbRlV"/>
                  <w:vAlign w:val="center"/>
                </w:tcPr>
                <w:p w14:paraId="64078B9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59CD244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703" w:type="pct"/>
                  <w:tcBorders>
                    <w:tl2br w:val="nil"/>
                    <w:tr2bl w:val="nil"/>
                  </w:tcBorders>
                  <w:shd w:val="clear" w:color="auto" w:fill="auto"/>
                  <w:vAlign w:val="center"/>
                </w:tcPr>
                <w:p w14:paraId="0DF032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&lt;0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000003</w:t>
                  </w:r>
                </w:p>
              </w:tc>
              <w:tc>
                <w:tcPr>
                  <w:tcW w:w="704" w:type="pct"/>
                  <w:tcBorders>
                    <w:tl2br w:val="nil"/>
                    <w:tr2bl w:val="nil"/>
                  </w:tcBorders>
                  <w:shd w:val="clear" w:color="auto" w:fill="auto"/>
                  <w:vAlign w:val="center"/>
                </w:tcPr>
                <w:p w14:paraId="06DDC7B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&lt;0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000005</w:t>
                  </w:r>
                </w:p>
              </w:tc>
              <w:tc>
                <w:tcPr>
                  <w:tcW w:w="1144" w:type="pct"/>
                  <w:vMerge w:val="continue"/>
                  <w:tcBorders>
                    <w:tl2br w:val="nil"/>
                    <w:tr2bl w:val="nil"/>
                  </w:tcBorders>
                  <w:shd w:val="clear" w:color="auto" w:fill="auto"/>
                  <w:vAlign w:val="center"/>
                </w:tcPr>
                <w:p w14:paraId="6347E70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167003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06D86D9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continue"/>
                  <w:tcBorders>
                    <w:tl2br w:val="nil"/>
                    <w:tr2bl w:val="nil"/>
                  </w:tcBorders>
                  <w:shd w:val="clear" w:color="auto" w:fill="auto"/>
                  <w:vAlign w:val="center"/>
                </w:tcPr>
                <w:p w14:paraId="501B7C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vAlign w:val="center"/>
                </w:tcPr>
                <w:p w14:paraId="371E813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7A0AABB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703" w:type="pct"/>
                  <w:tcBorders>
                    <w:tl2br w:val="nil"/>
                    <w:tr2bl w:val="nil"/>
                  </w:tcBorders>
                  <w:shd w:val="clear" w:color="auto" w:fill="auto"/>
                  <w:vAlign w:val="center"/>
                </w:tcPr>
                <w:p w14:paraId="123C51B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&lt;0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000003</w:t>
                  </w:r>
                </w:p>
              </w:tc>
              <w:tc>
                <w:tcPr>
                  <w:tcW w:w="704" w:type="pct"/>
                  <w:tcBorders>
                    <w:tl2br w:val="nil"/>
                    <w:tr2bl w:val="nil"/>
                  </w:tcBorders>
                  <w:shd w:val="clear" w:color="auto" w:fill="auto"/>
                  <w:vAlign w:val="center"/>
                </w:tcPr>
                <w:p w14:paraId="64FDDA0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&lt;0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000006</w:t>
                  </w:r>
                </w:p>
              </w:tc>
              <w:tc>
                <w:tcPr>
                  <w:tcW w:w="1144" w:type="pct"/>
                  <w:vMerge w:val="continue"/>
                  <w:tcBorders>
                    <w:tl2br w:val="nil"/>
                    <w:tr2bl w:val="nil"/>
                  </w:tcBorders>
                  <w:shd w:val="clear" w:color="auto" w:fill="auto"/>
                  <w:vAlign w:val="center"/>
                </w:tcPr>
                <w:p w14:paraId="4B6A252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r>
            <w:tr w14:paraId="54A2D1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286BD64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restart"/>
                  <w:tcBorders>
                    <w:tl2br w:val="nil"/>
                    <w:tr2bl w:val="nil"/>
                  </w:tcBorders>
                  <w:shd w:val="clear" w:color="auto" w:fill="auto"/>
                  <w:vAlign w:val="center"/>
                </w:tcPr>
                <w:p w14:paraId="35BE128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黑度</w:t>
                  </w:r>
                </w:p>
              </w:tc>
              <w:tc>
                <w:tcPr>
                  <w:tcW w:w="526" w:type="pct"/>
                  <w:vMerge w:val="continue"/>
                  <w:tcBorders>
                    <w:tl2br w:val="nil"/>
                    <w:tr2bl w:val="nil"/>
                  </w:tcBorders>
                  <w:shd w:val="clear" w:color="auto" w:fill="auto"/>
                  <w:vAlign w:val="center"/>
                </w:tcPr>
                <w:p w14:paraId="293D89D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restart"/>
                  <w:tcBorders>
                    <w:tl2br w:val="nil"/>
                    <w:tr2bl w:val="nil"/>
                  </w:tcBorders>
                  <w:shd w:val="clear" w:color="auto" w:fill="auto"/>
                  <w:vAlign w:val="center"/>
                </w:tcPr>
                <w:p w14:paraId="667D888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级</w:t>
                  </w:r>
                </w:p>
              </w:tc>
              <w:tc>
                <w:tcPr>
                  <w:tcW w:w="1407" w:type="pct"/>
                  <w:gridSpan w:val="2"/>
                  <w:tcBorders>
                    <w:tl2br w:val="nil"/>
                    <w:tr2bl w:val="nil"/>
                  </w:tcBorders>
                  <w:shd w:val="clear" w:color="auto" w:fill="auto"/>
                  <w:vAlign w:val="center"/>
                </w:tcPr>
                <w:p w14:paraId="50CD86D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&lt;1</w:t>
                  </w:r>
                </w:p>
              </w:tc>
              <w:tc>
                <w:tcPr>
                  <w:tcW w:w="1144" w:type="pct"/>
                  <w:vMerge w:val="restart"/>
                  <w:tcBorders>
                    <w:tl2br w:val="nil"/>
                    <w:tr2bl w:val="nil"/>
                  </w:tcBorders>
                  <w:shd w:val="clear" w:color="auto" w:fill="auto"/>
                  <w:vAlign w:val="center"/>
                </w:tcPr>
                <w:p w14:paraId="17EE8AD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≤1</w:t>
                  </w:r>
                </w:p>
              </w:tc>
            </w:tr>
            <w:tr w14:paraId="701E12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400EBA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continue"/>
                  <w:tcBorders>
                    <w:tl2br w:val="nil"/>
                    <w:tr2bl w:val="nil"/>
                  </w:tcBorders>
                  <w:shd w:val="clear" w:color="auto" w:fill="auto"/>
                  <w:vAlign w:val="center"/>
                </w:tcPr>
                <w:p w14:paraId="7488500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vAlign w:val="center"/>
                </w:tcPr>
                <w:p w14:paraId="71B9F68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3478D64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407" w:type="pct"/>
                  <w:gridSpan w:val="2"/>
                  <w:tcBorders>
                    <w:tl2br w:val="nil"/>
                    <w:tr2bl w:val="nil"/>
                  </w:tcBorders>
                  <w:shd w:val="clear" w:color="auto" w:fill="auto"/>
                  <w:vAlign w:val="center"/>
                </w:tcPr>
                <w:p w14:paraId="2A97278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&lt;1</w:t>
                  </w:r>
                </w:p>
              </w:tc>
              <w:tc>
                <w:tcPr>
                  <w:tcW w:w="1144" w:type="pct"/>
                  <w:vMerge w:val="continue"/>
                  <w:tcBorders>
                    <w:tl2br w:val="nil"/>
                    <w:tr2bl w:val="nil"/>
                  </w:tcBorders>
                  <w:shd w:val="clear" w:color="auto" w:fill="auto"/>
                  <w:vAlign w:val="center"/>
                </w:tcPr>
                <w:p w14:paraId="4520452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4B92DB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7FF430C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670" w:type="pct"/>
                  <w:vMerge w:val="continue"/>
                  <w:tcBorders>
                    <w:tl2br w:val="nil"/>
                    <w:tr2bl w:val="nil"/>
                  </w:tcBorders>
                  <w:shd w:val="clear" w:color="auto" w:fill="auto"/>
                  <w:vAlign w:val="center"/>
                </w:tcPr>
                <w:p w14:paraId="71251BA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vAlign w:val="center"/>
                </w:tcPr>
                <w:p w14:paraId="041112B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4C4AEC6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407" w:type="pct"/>
                  <w:gridSpan w:val="2"/>
                  <w:tcBorders>
                    <w:tl2br w:val="nil"/>
                    <w:tr2bl w:val="nil"/>
                  </w:tcBorders>
                  <w:shd w:val="clear" w:color="auto" w:fill="auto"/>
                  <w:vAlign w:val="center"/>
                </w:tcPr>
                <w:p w14:paraId="2863670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&lt;1</w:t>
                  </w:r>
                </w:p>
              </w:tc>
              <w:tc>
                <w:tcPr>
                  <w:tcW w:w="1144" w:type="pct"/>
                  <w:vMerge w:val="continue"/>
                  <w:tcBorders>
                    <w:tl2br w:val="nil"/>
                    <w:tr2bl w:val="nil"/>
                  </w:tcBorders>
                  <w:shd w:val="clear" w:color="auto" w:fill="auto"/>
                  <w:vAlign w:val="center"/>
                </w:tcPr>
                <w:p w14:paraId="4F25F7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7319A4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469FA61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670" w:type="pct"/>
                  <w:tcBorders>
                    <w:tl2br w:val="nil"/>
                    <w:tr2bl w:val="nil"/>
                  </w:tcBorders>
                  <w:shd w:val="clear" w:color="auto" w:fill="auto"/>
                  <w:vAlign w:val="center"/>
                </w:tcPr>
                <w:p w14:paraId="227A55E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基准氧含量</w:t>
                  </w:r>
                </w:p>
              </w:tc>
              <w:tc>
                <w:tcPr>
                  <w:tcW w:w="526" w:type="pct"/>
                  <w:vMerge w:val="continue"/>
                  <w:tcBorders>
                    <w:tl2br w:val="nil"/>
                    <w:tr2bl w:val="nil"/>
                  </w:tcBorders>
                  <w:shd w:val="clear" w:color="auto" w:fill="auto"/>
                  <w:vAlign w:val="center"/>
                </w:tcPr>
                <w:p w14:paraId="64E346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472" w:type="pct"/>
                  <w:tcBorders>
                    <w:tl2br w:val="nil"/>
                    <w:tr2bl w:val="nil"/>
                  </w:tcBorders>
                  <w:shd w:val="clear" w:color="auto" w:fill="auto"/>
                  <w:vAlign w:val="center"/>
                </w:tcPr>
                <w:p w14:paraId="03A7D5B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w:t>
                  </w:r>
                </w:p>
              </w:tc>
              <w:tc>
                <w:tcPr>
                  <w:tcW w:w="1407" w:type="pct"/>
                  <w:gridSpan w:val="2"/>
                  <w:tcBorders>
                    <w:tl2br w:val="nil"/>
                    <w:tr2bl w:val="nil"/>
                  </w:tcBorders>
                  <w:shd w:val="clear" w:color="auto" w:fill="auto"/>
                  <w:vAlign w:val="center"/>
                </w:tcPr>
                <w:p w14:paraId="053A816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9</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w:t>
                  </w:r>
                </w:p>
              </w:tc>
              <w:tc>
                <w:tcPr>
                  <w:tcW w:w="1144" w:type="pct"/>
                  <w:vMerge w:val="restart"/>
                  <w:tcBorders>
                    <w:tl2br w:val="nil"/>
                    <w:tr2bl w:val="nil"/>
                  </w:tcBorders>
                  <w:shd w:val="clear" w:color="auto" w:fill="auto"/>
                  <w:vAlign w:val="center"/>
                </w:tcPr>
                <w:p w14:paraId="7FEC05C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r>
            <w:tr w14:paraId="42B37C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2185D629">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c>
                <w:tcPr>
                  <w:tcW w:w="670" w:type="pct"/>
                  <w:vMerge w:val="restart"/>
                  <w:tcBorders>
                    <w:tl2br w:val="nil"/>
                    <w:tr2bl w:val="nil"/>
                  </w:tcBorders>
                  <w:shd w:val="clear" w:color="auto" w:fill="auto"/>
                  <w:vAlign w:val="center"/>
                </w:tcPr>
                <w:p w14:paraId="54AFFD3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氧含量</w:t>
                  </w:r>
                </w:p>
              </w:tc>
              <w:tc>
                <w:tcPr>
                  <w:tcW w:w="526" w:type="pct"/>
                  <w:vMerge w:val="continue"/>
                  <w:tcBorders>
                    <w:tl2br w:val="nil"/>
                    <w:tr2bl w:val="nil"/>
                  </w:tcBorders>
                  <w:shd w:val="clear" w:color="auto" w:fill="auto"/>
                  <w:vAlign w:val="center"/>
                </w:tcPr>
                <w:p w14:paraId="14A799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restart"/>
                  <w:tcBorders>
                    <w:tl2br w:val="nil"/>
                    <w:tr2bl w:val="nil"/>
                  </w:tcBorders>
                  <w:shd w:val="clear" w:color="auto" w:fill="auto"/>
                  <w:vAlign w:val="center"/>
                </w:tcPr>
                <w:p w14:paraId="52B809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w:t>
                  </w:r>
                </w:p>
              </w:tc>
              <w:tc>
                <w:tcPr>
                  <w:tcW w:w="1407" w:type="pct"/>
                  <w:gridSpan w:val="2"/>
                  <w:tcBorders>
                    <w:tl2br w:val="nil"/>
                    <w:tr2bl w:val="nil"/>
                  </w:tcBorders>
                  <w:shd w:val="clear" w:color="auto" w:fill="auto"/>
                  <w:vAlign w:val="center"/>
                </w:tcPr>
                <w:p w14:paraId="03F9C50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14</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5</w:t>
                  </w:r>
                </w:p>
              </w:tc>
              <w:tc>
                <w:tcPr>
                  <w:tcW w:w="1144" w:type="pct"/>
                  <w:vMerge w:val="continue"/>
                  <w:tcBorders>
                    <w:tl2br w:val="nil"/>
                    <w:tr2bl w:val="nil"/>
                  </w:tcBorders>
                  <w:shd w:val="clear" w:color="auto" w:fill="auto"/>
                  <w:vAlign w:val="center"/>
                </w:tcPr>
                <w:p w14:paraId="60D4A2F1">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r>
            <w:tr w14:paraId="367C3B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26488D2A">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c>
                <w:tcPr>
                  <w:tcW w:w="670" w:type="pct"/>
                  <w:vMerge w:val="continue"/>
                  <w:tcBorders>
                    <w:tl2br w:val="nil"/>
                    <w:tr2bl w:val="nil"/>
                  </w:tcBorders>
                  <w:shd w:val="clear" w:color="auto" w:fill="auto"/>
                  <w:vAlign w:val="center"/>
                </w:tcPr>
                <w:p w14:paraId="61797FB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vAlign w:val="center"/>
                </w:tcPr>
                <w:p w14:paraId="48C4302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0DA45E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407" w:type="pct"/>
                  <w:gridSpan w:val="2"/>
                  <w:tcBorders>
                    <w:tl2br w:val="nil"/>
                    <w:tr2bl w:val="nil"/>
                  </w:tcBorders>
                  <w:shd w:val="clear" w:color="auto" w:fill="auto"/>
                  <w:vAlign w:val="center"/>
                </w:tcPr>
                <w:p w14:paraId="09FF99A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14</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3</w:t>
                  </w:r>
                </w:p>
              </w:tc>
              <w:tc>
                <w:tcPr>
                  <w:tcW w:w="1144" w:type="pct"/>
                  <w:vMerge w:val="continue"/>
                  <w:tcBorders>
                    <w:tl2br w:val="nil"/>
                    <w:tr2bl w:val="nil"/>
                  </w:tcBorders>
                  <w:shd w:val="clear" w:color="auto" w:fill="auto"/>
                  <w:vAlign w:val="center"/>
                </w:tcPr>
                <w:p w14:paraId="7F0F6393">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r>
            <w:tr w14:paraId="209CF5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5D711377">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c>
                <w:tcPr>
                  <w:tcW w:w="670" w:type="pct"/>
                  <w:vMerge w:val="continue"/>
                  <w:tcBorders>
                    <w:tl2br w:val="nil"/>
                    <w:tr2bl w:val="nil"/>
                  </w:tcBorders>
                  <w:shd w:val="clear" w:color="auto" w:fill="auto"/>
                  <w:vAlign w:val="center"/>
                </w:tcPr>
                <w:p w14:paraId="61CD61E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204040"/>
                      <w:sz w:val="21"/>
                      <w:szCs w:val="21"/>
                      <w:highlight w:val="none"/>
                      <w:u w:val="none"/>
                    </w:rPr>
                  </w:pPr>
                </w:p>
              </w:tc>
              <w:tc>
                <w:tcPr>
                  <w:tcW w:w="526" w:type="pct"/>
                  <w:vMerge w:val="continue"/>
                  <w:tcBorders>
                    <w:tl2br w:val="nil"/>
                    <w:tr2bl w:val="nil"/>
                  </w:tcBorders>
                  <w:shd w:val="clear" w:color="auto" w:fill="auto"/>
                  <w:vAlign w:val="center"/>
                </w:tcPr>
                <w:p w14:paraId="5CE32AE9">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c>
                <w:tcPr>
                  <w:tcW w:w="472" w:type="pct"/>
                  <w:vMerge w:val="continue"/>
                  <w:tcBorders>
                    <w:tl2br w:val="nil"/>
                    <w:tr2bl w:val="nil"/>
                  </w:tcBorders>
                  <w:shd w:val="clear" w:color="auto" w:fill="auto"/>
                  <w:vAlign w:val="center"/>
                </w:tcPr>
                <w:p w14:paraId="61E832D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07" w:type="pct"/>
                  <w:gridSpan w:val="2"/>
                  <w:tcBorders>
                    <w:tl2br w:val="nil"/>
                    <w:tr2bl w:val="nil"/>
                  </w:tcBorders>
                  <w:shd w:val="clear" w:color="auto" w:fill="auto"/>
                  <w:vAlign w:val="center"/>
                </w:tcPr>
                <w:p w14:paraId="4113541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14</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6</w:t>
                  </w:r>
                </w:p>
              </w:tc>
              <w:tc>
                <w:tcPr>
                  <w:tcW w:w="1144" w:type="pct"/>
                  <w:vMerge w:val="restart"/>
                  <w:tcBorders>
                    <w:tl2br w:val="nil"/>
                    <w:tr2bl w:val="nil"/>
                  </w:tcBorders>
                  <w:shd w:val="clear" w:color="auto" w:fill="auto"/>
                  <w:vAlign w:val="center"/>
                </w:tcPr>
                <w:p w14:paraId="2FBF9D35">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r>
            <w:tr w14:paraId="6D43A9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555EB637">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c>
                <w:tcPr>
                  <w:tcW w:w="670" w:type="pct"/>
                  <w:vMerge w:val="restart"/>
                  <w:tcBorders>
                    <w:tl2br w:val="nil"/>
                    <w:tr2bl w:val="nil"/>
                  </w:tcBorders>
                  <w:shd w:val="clear" w:color="auto" w:fill="auto"/>
                  <w:vAlign w:val="center"/>
                </w:tcPr>
                <w:p w14:paraId="46644BA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r>
                    <w:rPr>
                      <w:rFonts w:hint="eastAsia" w:ascii="Times New Roman" w:hAnsi="Times New Roman" w:eastAsia="宋体" w:cs="宋体"/>
                      <w:bCs/>
                      <w:i w:val="0"/>
                      <w:iCs w:val="0"/>
                      <w:caps w:val="0"/>
                      <w:color w:val="000000"/>
                      <w:kern w:val="0"/>
                      <w:sz w:val="21"/>
                      <w:szCs w:val="21"/>
                      <w:highlight w:val="none"/>
                      <w:u w:val="none"/>
                      <w:lang w:val="en-US" w:eastAsia="zh-CN" w:bidi="ar"/>
                    </w:rPr>
                    <w:t>标干流量</w:t>
                  </w:r>
                </w:p>
              </w:tc>
              <w:tc>
                <w:tcPr>
                  <w:tcW w:w="526" w:type="pct"/>
                  <w:vMerge w:val="continue"/>
                  <w:tcBorders>
                    <w:tl2br w:val="nil"/>
                    <w:tr2bl w:val="nil"/>
                  </w:tcBorders>
                  <w:shd w:val="clear" w:color="auto" w:fill="auto"/>
                  <w:vAlign w:val="center"/>
                </w:tcPr>
                <w:p w14:paraId="22792C2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restart"/>
                  <w:tcBorders>
                    <w:tl2br w:val="nil"/>
                    <w:tr2bl w:val="nil"/>
                  </w:tcBorders>
                  <w:shd w:val="clear" w:color="auto" w:fill="auto"/>
                  <w:vAlign w:val="center"/>
                </w:tcPr>
                <w:p w14:paraId="6048C59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r>
                    <w:rPr>
                      <w:rFonts w:hint="eastAsia" w:ascii="Times New Roman" w:hAnsi="Times New Roman" w:eastAsia="宋体" w:cs="宋体"/>
                      <w:bCs/>
                      <w:i w:val="0"/>
                      <w:iCs w:val="0"/>
                      <w:caps w:val="0"/>
                      <w:color w:val="000000"/>
                      <w:kern w:val="0"/>
                      <w:sz w:val="21"/>
                      <w:szCs w:val="21"/>
                      <w:highlight w:val="none"/>
                      <w:u w:val="none"/>
                      <w:lang w:val="en-US" w:eastAsia="zh-CN" w:bidi="ar"/>
                    </w:rPr>
                    <w:t>m³/h</w:t>
                  </w:r>
                </w:p>
              </w:tc>
              <w:tc>
                <w:tcPr>
                  <w:tcW w:w="1407" w:type="pct"/>
                  <w:gridSpan w:val="2"/>
                  <w:tcBorders>
                    <w:tl2br w:val="nil"/>
                    <w:tr2bl w:val="nil"/>
                  </w:tcBorders>
                  <w:shd w:val="clear" w:color="auto" w:fill="auto"/>
                  <w:vAlign w:val="center"/>
                </w:tcPr>
                <w:p w14:paraId="581D17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r>
                    <w:rPr>
                      <w:rFonts w:hint="eastAsia" w:ascii="Times New Roman" w:hAnsi="Times New Roman" w:eastAsia="宋体" w:cs="宋体"/>
                      <w:bCs/>
                      <w:i w:val="0"/>
                      <w:iCs w:val="0"/>
                      <w:caps w:val="0"/>
                      <w:color w:val="000000"/>
                      <w:kern w:val="0"/>
                      <w:sz w:val="21"/>
                      <w:szCs w:val="21"/>
                      <w:highlight w:val="none"/>
                      <w:u w:val="none"/>
                      <w:lang w:val="en-US" w:eastAsia="zh-CN" w:bidi="ar"/>
                    </w:rPr>
                    <w:t>7319</w:t>
                  </w:r>
                </w:p>
              </w:tc>
              <w:tc>
                <w:tcPr>
                  <w:tcW w:w="1144" w:type="pct"/>
                  <w:vMerge w:val="continue"/>
                  <w:tcBorders>
                    <w:tl2br w:val="nil"/>
                    <w:tr2bl w:val="nil"/>
                  </w:tcBorders>
                  <w:shd w:val="clear" w:color="auto" w:fill="auto"/>
                  <w:vAlign w:val="center"/>
                </w:tcPr>
                <w:p w14:paraId="4D1C30DD">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r>
            <w:tr w14:paraId="7F59F5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5FAD1D96">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c>
                <w:tcPr>
                  <w:tcW w:w="670" w:type="pct"/>
                  <w:vMerge w:val="continue"/>
                  <w:tcBorders>
                    <w:tl2br w:val="nil"/>
                    <w:tr2bl w:val="nil"/>
                  </w:tcBorders>
                  <w:shd w:val="clear" w:color="auto" w:fill="auto"/>
                  <w:vAlign w:val="center"/>
                </w:tcPr>
                <w:p w14:paraId="4A4D97B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vAlign w:val="center"/>
                </w:tcPr>
                <w:p w14:paraId="5A41B96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1D62634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407" w:type="pct"/>
                  <w:gridSpan w:val="2"/>
                  <w:tcBorders>
                    <w:tl2br w:val="nil"/>
                    <w:tr2bl w:val="nil"/>
                  </w:tcBorders>
                  <w:shd w:val="clear" w:color="auto" w:fill="auto"/>
                  <w:vAlign w:val="center"/>
                </w:tcPr>
                <w:p w14:paraId="0A32E2E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r>
                    <w:rPr>
                      <w:rFonts w:hint="eastAsia" w:ascii="Times New Roman" w:hAnsi="Times New Roman" w:eastAsia="宋体" w:cs="宋体"/>
                      <w:bCs/>
                      <w:i w:val="0"/>
                      <w:iCs w:val="0"/>
                      <w:caps w:val="0"/>
                      <w:color w:val="000000"/>
                      <w:kern w:val="0"/>
                      <w:sz w:val="21"/>
                      <w:szCs w:val="21"/>
                      <w:highlight w:val="none"/>
                      <w:u w:val="none"/>
                      <w:lang w:val="en-US" w:eastAsia="zh-CN" w:bidi="ar"/>
                    </w:rPr>
                    <w:t>7360</w:t>
                  </w:r>
                </w:p>
              </w:tc>
              <w:tc>
                <w:tcPr>
                  <w:tcW w:w="1144" w:type="pct"/>
                  <w:vMerge w:val="continue"/>
                  <w:tcBorders>
                    <w:tl2br w:val="nil"/>
                    <w:tr2bl w:val="nil"/>
                  </w:tcBorders>
                  <w:shd w:val="clear" w:color="auto" w:fill="auto"/>
                  <w:vAlign w:val="center"/>
                </w:tcPr>
                <w:p w14:paraId="3175F63B">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r>
            <w:tr w14:paraId="37AFFB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8" w:type="pct"/>
                  <w:vMerge w:val="continue"/>
                  <w:tcBorders>
                    <w:tl2br w:val="nil"/>
                    <w:tr2bl w:val="nil"/>
                  </w:tcBorders>
                  <w:shd w:val="clear" w:color="auto" w:fill="auto"/>
                  <w:vAlign w:val="center"/>
                </w:tcPr>
                <w:p w14:paraId="3D2B084D">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c>
                <w:tcPr>
                  <w:tcW w:w="670" w:type="pct"/>
                  <w:vMerge w:val="continue"/>
                  <w:tcBorders>
                    <w:tl2br w:val="nil"/>
                    <w:tr2bl w:val="nil"/>
                  </w:tcBorders>
                  <w:shd w:val="clear" w:color="auto" w:fill="auto"/>
                  <w:vAlign w:val="center"/>
                </w:tcPr>
                <w:p w14:paraId="5DD032C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526" w:type="pct"/>
                  <w:vMerge w:val="continue"/>
                  <w:tcBorders>
                    <w:tl2br w:val="nil"/>
                    <w:tr2bl w:val="nil"/>
                  </w:tcBorders>
                  <w:shd w:val="clear" w:color="auto" w:fill="auto"/>
                  <w:vAlign w:val="center"/>
                </w:tcPr>
                <w:p w14:paraId="5C0835E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p>
              </w:tc>
              <w:tc>
                <w:tcPr>
                  <w:tcW w:w="472" w:type="pct"/>
                  <w:vMerge w:val="continue"/>
                  <w:tcBorders>
                    <w:tl2br w:val="nil"/>
                    <w:tr2bl w:val="nil"/>
                  </w:tcBorders>
                  <w:shd w:val="clear" w:color="auto" w:fill="auto"/>
                  <w:vAlign w:val="center"/>
                </w:tcPr>
                <w:p w14:paraId="5335A4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407" w:type="pct"/>
                  <w:gridSpan w:val="2"/>
                  <w:tcBorders>
                    <w:tl2br w:val="nil"/>
                    <w:tr2bl w:val="nil"/>
                  </w:tcBorders>
                  <w:shd w:val="clear" w:color="auto" w:fill="auto"/>
                  <w:vAlign w:val="center"/>
                </w:tcPr>
                <w:p w14:paraId="45E2122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r>
                    <w:rPr>
                      <w:rFonts w:hint="eastAsia" w:ascii="Times New Roman" w:hAnsi="Times New Roman" w:eastAsia="宋体" w:cs="宋体"/>
                      <w:bCs/>
                      <w:i w:val="0"/>
                      <w:iCs w:val="0"/>
                      <w:caps w:val="0"/>
                      <w:color w:val="000000"/>
                      <w:kern w:val="0"/>
                      <w:sz w:val="21"/>
                      <w:szCs w:val="21"/>
                      <w:highlight w:val="none"/>
                      <w:u w:val="none"/>
                      <w:lang w:val="en-US" w:eastAsia="zh-CN" w:bidi="ar"/>
                    </w:rPr>
                    <w:t>7456</w:t>
                  </w:r>
                </w:p>
              </w:tc>
              <w:tc>
                <w:tcPr>
                  <w:tcW w:w="1144" w:type="pct"/>
                  <w:vMerge w:val="continue"/>
                  <w:tcBorders>
                    <w:tl2br w:val="nil"/>
                    <w:tr2bl w:val="nil"/>
                  </w:tcBorders>
                  <w:shd w:val="clear" w:color="auto" w:fill="auto"/>
                  <w:vAlign w:val="center"/>
                </w:tcPr>
                <w:p w14:paraId="550D7D9C">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宋体"/>
                      <w:i w:val="0"/>
                      <w:iCs w:val="0"/>
                      <w:caps w:val="0"/>
                      <w:color w:val="000000"/>
                      <w:sz w:val="21"/>
                      <w:szCs w:val="21"/>
                      <w:highlight w:val="none"/>
                      <w:u w:val="none"/>
                    </w:rPr>
                  </w:pPr>
                </w:p>
              </w:tc>
            </w:tr>
          </w:tbl>
          <w:p w14:paraId="717F120B">
            <w:pPr>
              <w:pStyle w:val="19"/>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0" w:firstLineChars="0"/>
              <w:jc w:val="center"/>
              <w:textAlignment w:val="auto"/>
              <w:rPr>
                <w:rFonts w:hint="eastAsia" w:ascii="Times New Roman" w:hAnsi="Times New Roman" w:eastAsia="宋体" w:cs="宋体"/>
                <w:b/>
                <w:bCs w:val="0"/>
                <w:caps w:val="0"/>
                <w:sz w:val="21"/>
                <w:szCs w:val="15"/>
                <w:highlight w:val="none"/>
                <w:lang w:val="en-US" w:eastAsia="zh-CN"/>
              </w:rPr>
            </w:pPr>
            <w:r>
              <w:rPr>
                <w:rFonts w:hint="eastAsia" w:ascii="Times New Roman" w:hAnsi="Times New Roman" w:eastAsia="宋体" w:cs="宋体"/>
                <w:b/>
                <w:bCs w:val="0"/>
                <w:caps w:val="0"/>
                <w:sz w:val="21"/>
                <w:szCs w:val="15"/>
                <w:highlight w:val="none"/>
                <w:lang w:val="en-US" w:eastAsia="zh-CN"/>
              </w:rPr>
              <w:t>表2-</w:t>
            </w:r>
            <w:r>
              <w:rPr>
                <w:rFonts w:hint="eastAsia" w:ascii="Times New Roman" w:hAnsi="Times New Roman" w:cs="宋体"/>
                <w:b/>
                <w:bCs w:val="0"/>
                <w:caps w:val="0"/>
                <w:sz w:val="21"/>
                <w:szCs w:val="15"/>
                <w:highlight w:val="none"/>
                <w:lang w:val="en-US" w:eastAsia="zh-CN"/>
              </w:rPr>
              <w:t>6</w:t>
            </w:r>
            <w:r>
              <w:rPr>
                <w:rFonts w:hint="eastAsia" w:ascii="Times New Roman" w:hAnsi="Times New Roman" w:eastAsia="宋体" w:cs="宋体"/>
                <w:b/>
                <w:bCs w:val="0"/>
                <w:caps w:val="0"/>
                <w:sz w:val="21"/>
                <w:szCs w:val="15"/>
                <w:highlight w:val="none"/>
                <w:lang w:val="en-US" w:eastAsia="zh-CN"/>
              </w:rPr>
              <w:t xml:space="preserve">  DA002排气筒有组织监测结果</w:t>
            </w:r>
          </w:p>
          <w:tbl>
            <w:tblPr>
              <w:tblStyle w:val="35"/>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114"/>
              <w:gridCol w:w="1263"/>
              <w:gridCol w:w="996"/>
              <w:gridCol w:w="1127"/>
              <w:gridCol w:w="955"/>
              <w:gridCol w:w="1010"/>
              <w:gridCol w:w="1306"/>
            </w:tblGrid>
            <w:tr w14:paraId="0542DAB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14" w:type="dxa"/>
                  <w:tcBorders>
                    <w:tl2br w:val="nil"/>
                    <w:tr2bl w:val="nil"/>
                  </w:tcBorders>
                  <w:shd w:val="clear" w:color="auto" w:fill="auto"/>
                  <w:vAlign w:val="center"/>
                </w:tcPr>
                <w:p w14:paraId="1CF144A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分析日期</w:t>
                  </w:r>
                </w:p>
              </w:tc>
              <w:tc>
                <w:tcPr>
                  <w:tcW w:w="1263" w:type="dxa"/>
                  <w:tcBorders>
                    <w:tl2br w:val="nil"/>
                    <w:tr2bl w:val="nil"/>
                  </w:tcBorders>
                  <w:shd w:val="clear" w:color="auto" w:fill="auto"/>
                  <w:vAlign w:val="center"/>
                </w:tcPr>
                <w:p w14:paraId="7FD723E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分析项目</w:t>
                  </w:r>
                </w:p>
              </w:tc>
              <w:tc>
                <w:tcPr>
                  <w:tcW w:w="996" w:type="dxa"/>
                  <w:tcBorders>
                    <w:tl2br w:val="nil"/>
                    <w:tr2bl w:val="nil"/>
                  </w:tcBorders>
                  <w:shd w:val="clear" w:color="auto" w:fill="auto"/>
                  <w:vAlign w:val="center"/>
                </w:tcPr>
                <w:p w14:paraId="4AF385E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检测点位</w:t>
                  </w:r>
                </w:p>
              </w:tc>
              <w:tc>
                <w:tcPr>
                  <w:tcW w:w="1127" w:type="dxa"/>
                  <w:tcBorders>
                    <w:tl2br w:val="nil"/>
                    <w:tr2bl w:val="nil"/>
                  </w:tcBorders>
                  <w:shd w:val="clear" w:color="auto" w:fill="auto"/>
                  <w:vAlign w:val="center"/>
                </w:tcPr>
                <w:p w14:paraId="34892B6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检测参数</w:t>
                  </w:r>
                </w:p>
              </w:tc>
              <w:tc>
                <w:tcPr>
                  <w:tcW w:w="955" w:type="dxa"/>
                  <w:tcBorders>
                    <w:tl2br w:val="nil"/>
                    <w:tr2bl w:val="nil"/>
                  </w:tcBorders>
                  <w:shd w:val="clear" w:color="auto" w:fill="auto"/>
                  <w:vAlign w:val="center"/>
                </w:tcPr>
                <w:p w14:paraId="1B8BFEE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单位</w:t>
                  </w:r>
                </w:p>
              </w:tc>
              <w:tc>
                <w:tcPr>
                  <w:tcW w:w="1010" w:type="dxa"/>
                  <w:tcBorders>
                    <w:tl2br w:val="nil"/>
                    <w:tr2bl w:val="nil"/>
                  </w:tcBorders>
                  <w:shd w:val="clear" w:color="auto" w:fill="auto"/>
                  <w:vAlign w:val="center"/>
                </w:tcPr>
                <w:p w14:paraId="342F1FA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检测结果</w:t>
                  </w:r>
                </w:p>
              </w:tc>
              <w:tc>
                <w:tcPr>
                  <w:tcW w:w="1306" w:type="dxa"/>
                  <w:tcBorders>
                    <w:tl2br w:val="nil"/>
                    <w:tr2bl w:val="nil"/>
                  </w:tcBorders>
                  <w:shd w:val="clear" w:color="auto" w:fill="auto"/>
                  <w:vAlign w:val="center"/>
                </w:tcPr>
                <w:p w14:paraId="1754BAA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《大气污染物</w:t>
                  </w:r>
                  <w:r>
                    <w:rPr>
                      <w:rFonts w:ascii="Times New Roman" w:hAnsi="Times New Roman" w:eastAsia="宋体" w:cs="宋体"/>
                      <w:bCs/>
                      <w:i w:val="0"/>
                      <w:iCs w:val="0"/>
                      <w:caps w:val="0"/>
                      <w:color w:val="204040"/>
                      <w:kern w:val="0"/>
                      <w:sz w:val="21"/>
                      <w:szCs w:val="21"/>
                      <w:highlight w:val="none"/>
                      <w:u w:val="none"/>
                      <w:lang w:val="en-US" w:eastAsia="zh-CN" w:bidi="ar"/>
                    </w:rPr>
                    <w:t>综合排放标</w:t>
                  </w:r>
                  <w:r>
                    <w:rPr>
                      <w:rFonts w:ascii="Times New Roman" w:hAnsi="Times New Roman" w:eastAsia="宋体" w:cs="宋体"/>
                      <w:bCs/>
                      <w:i w:val="0"/>
                      <w:iCs w:val="0"/>
                      <w:caps w:val="0"/>
                      <w:color w:val="000000"/>
                      <w:kern w:val="0"/>
                      <w:sz w:val="21"/>
                      <w:szCs w:val="21"/>
                      <w:highlight w:val="none"/>
                      <w:u w:val="none"/>
                      <w:lang w:val="en-US" w:eastAsia="zh-CN" w:bidi="ar"/>
                    </w:rPr>
                    <w:t>准》</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G B16297-1996</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表2中二级</w:t>
                  </w:r>
                </w:p>
              </w:tc>
            </w:tr>
            <w:tr w14:paraId="0948CCC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114" w:type="dxa"/>
                  <w:vMerge w:val="restart"/>
                  <w:tcBorders>
                    <w:tl2br w:val="nil"/>
                    <w:tr2bl w:val="nil"/>
                  </w:tcBorders>
                  <w:shd w:val="clear" w:color="auto" w:fill="auto"/>
                  <w:vAlign w:val="center"/>
                </w:tcPr>
                <w:p w14:paraId="3F2B7A2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2024</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02</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29</w:t>
                  </w:r>
                </w:p>
              </w:tc>
              <w:tc>
                <w:tcPr>
                  <w:tcW w:w="1263" w:type="dxa"/>
                  <w:vMerge w:val="restart"/>
                  <w:tcBorders>
                    <w:tl2br w:val="nil"/>
                    <w:tr2bl w:val="nil"/>
                  </w:tcBorders>
                  <w:shd w:val="clear" w:color="auto" w:fill="auto"/>
                  <w:vAlign w:val="center"/>
                </w:tcPr>
                <w:p w14:paraId="0276E0E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颗粒物</w:t>
                  </w:r>
                </w:p>
              </w:tc>
              <w:tc>
                <w:tcPr>
                  <w:tcW w:w="996" w:type="dxa"/>
                  <w:vMerge w:val="restart"/>
                  <w:tcBorders>
                    <w:tl2br w:val="nil"/>
                    <w:tr2bl w:val="nil"/>
                  </w:tcBorders>
                  <w:shd w:val="clear" w:color="auto" w:fill="auto"/>
                  <w:vAlign w:val="center"/>
                </w:tcPr>
                <w:p w14:paraId="2F652CF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排气筒处</w:t>
                  </w:r>
                </w:p>
              </w:tc>
              <w:tc>
                <w:tcPr>
                  <w:tcW w:w="1127" w:type="dxa"/>
                  <w:vMerge w:val="restart"/>
                  <w:tcBorders>
                    <w:tl2br w:val="nil"/>
                    <w:tr2bl w:val="nil"/>
                  </w:tcBorders>
                  <w:shd w:val="clear" w:color="auto" w:fill="auto"/>
                  <w:vAlign w:val="center"/>
                </w:tcPr>
                <w:p w14:paraId="0C87869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标干流量</w:t>
                  </w:r>
                </w:p>
              </w:tc>
              <w:tc>
                <w:tcPr>
                  <w:tcW w:w="955" w:type="dxa"/>
                  <w:vMerge w:val="restart"/>
                  <w:tcBorders>
                    <w:tl2br w:val="nil"/>
                    <w:tr2bl w:val="nil"/>
                  </w:tcBorders>
                  <w:shd w:val="clear" w:color="auto" w:fill="auto"/>
                  <w:vAlign w:val="center"/>
                </w:tcPr>
                <w:p w14:paraId="72F9F6B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hint="eastAsia" w:ascii="Times New Roman" w:hAnsi="Times New Roman" w:eastAsia="宋体" w:cs="宋体"/>
                      <w:bCs/>
                      <w:i w:val="0"/>
                      <w:iCs w:val="0"/>
                      <w:caps w:val="0"/>
                      <w:color w:val="000000"/>
                      <w:kern w:val="0"/>
                      <w:sz w:val="21"/>
                      <w:szCs w:val="21"/>
                      <w:highlight w:val="none"/>
                      <w:u w:val="none"/>
                      <w:lang w:val="en-US" w:eastAsia="zh-CN" w:bidi="ar"/>
                    </w:rPr>
                    <w:t>m</w:t>
                  </w:r>
                  <w:r>
                    <w:rPr>
                      <w:rFonts w:hint="eastAsia" w:ascii="Times New Roman" w:hAnsi="Times New Roman" w:eastAsia="宋体" w:cs="宋体"/>
                      <w:bCs/>
                      <w:i w:val="0"/>
                      <w:iCs w:val="0"/>
                      <w:caps w:val="0"/>
                      <w:color w:val="000000"/>
                      <w:kern w:val="0"/>
                      <w:sz w:val="21"/>
                      <w:szCs w:val="21"/>
                      <w:highlight w:val="none"/>
                      <w:u w:val="none"/>
                      <w:vertAlign w:val="superscript"/>
                      <w:lang w:val="en-US" w:eastAsia="zh-CN" w:bidi="ar"/>
                    </w:rPr>
                    <w:t>3</w:t>
                  </w:r>
                  <w:r>
                    <w:rPr>
                      <w:rFonts w:ascii="Times New Roman" w:hAnsi="Times New Roman" w:eastAsia="宋体" w:cs="宋体"/>
                      <w:bCs/>
                      <w:i w:val="0"/>
                      <w:iCs w:val="0"/>
                      <w:caps w:val="0"/>
                      <w:color w:val="000000"/>
                      <w:kern w:val="0"/>
                      <w:sz w:val="21"/>
                      <w:szCs w:val="21"/>
                      <w:highlight w:val="none"/>
                      <w:u w:val="none"/>
                      <w:lang w:val="en-US" w:eastAsia="zh-CN" w:bidi="ar"/>
                    </w:rPr>
                    <w:t>/h</w:t>
                  </w:r>
                </w:p>
              </w:tc>
              <w:tc>
                <w:tcPr>
                  <w:tcW w:w="1010" w:type="dxa"/>
                  <w:tcBorders>
                    <w:tl2br w:val="nil"/>
                    <w:tr2bl w:val="nil"/>
                  </w:tcBorders>
                  <w:shd w:val="clear" w:color="auto" w:fill="auto"/>
                  <w:vAlign w:val="center"/>
                </w:tcPr>
                <w:p w14:paraId="74FBF2C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3112</w:t>
                  </w:r>
                </w:p>
              </w:tc>
              <w:tc>
                <w:tcPr>
                  <w:tcW w:w="1306" w:type="dxa"/>
                  <w:vMerge w:val="restart"/>
                  <w:tcBorders>
                    <w:tl2br w:val="nil"/>
                    <w:tr2bl w:val="nil"/>
                  </w:tcBorders>
                  <w:shd w:val="clear" w:color="auto" w:fill="auto"/>
                  <w:vAlign w:val="center"/>
                </w:tcPr>
                <w:p w14:paraId="48DF76F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r>
                    <w:rPr>
                      <w:rFonts w:hint="eastAsia" w:ascii="Times New Roman" w:hAnsi="Times New Roman" w:eastAsia="宋体" w:cs="宋体"/>
                      <w:bCs/>
                      <w:i w:val="0"/>
                      <w:iCs w:val="0"/>
                      <w:caps w:val="0"/>
                      <w:color w:val="000000"/>
                      <w:kern w:val="0"/>
                      <w:sz w:val="21"/>
                      <w:szCs w:val="21"/>
                      <w:highlight w:val="none"/>
                      <w:u w:val="none"/>
                      <w:lang w:val="en-US" w:eastAsia="zh-CN" w:bidi="ar"/>
                    </w:rPr>
                    <w:t>/</w:t>
                  </w:r>
                </w:p>
              </w:tc>
            </w:tr>
            <w:tr w14:paraId="41DE1B2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114" w:type="dxa"/>
                  <w:vMerge w:val="continue"/>
                  <w:tcBorders>
                    <w:tl2br w:val="nil"/>
                    <w:tr2bl w:val="nil"/>
                  </w:tcBorders>
                  <w:shd w:val="clear" w:color="auto" w:fill="auto"/>
                  <w:vAlign w:val="center"/>
                </w:tcPr>
                <w:p w14:paraId="47FCDCB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263" w:type="dxa"/>
                  <w:vMerge w:val="continue"/>
                  <w:tcBorders>
                    <w:tl2br w:val="nil"/>
                    <w:tr2bl w:val="nil"/>
                  </w:tcBorders>
                  <w:shd w:val="clear" w:color="auto" w:fill="auto"/>
                  <w:vAlign w:val="center"/>
                </w:tcPr>
                <w:p w14:paraId="3B2ADC7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96" w:type="dxa"/>
                  <w:vMerge w:val="continue"/>
                  <w:tcBorders>
                    <w:tl2br w:val="nil"/>
                    <w:tr2bl w:val="nil"/>
                  </w:tcBorders>
                  <w:shd w:val="clear" w:color="auto" w:fill="auto"/>
                  <w:vAlign w:val="center"/>
                </w:tcPr>
                <w:p w14:paraId="488E80E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127" w:type="dxa"/>
                  <w:vMerge w:val="continue"/>
                  <w:tcBorders>
                    <w:tl2br w:val="nil"/>
                    <w:tr2bl w:val="nil"/>
                  </w:tcBorders>
                  <w:shd w:val="clear" w:color="auto" w:fill="auto"/>
                  <w:vAlign w:val="center"/>
                </w:tcPr>
                <w:p w14:paraId="2B7C1E2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55" w:type="dxa"/>
                  <w:vMerge w:val="continue"/>
                  <w:tcBorders>
                    <w:tl2br w:val="nil"/>
                    <w:tr2bl w:val="nil"/>
                  </w:tcBorders>
                  <w:shd w:val="clear" w:color="auto" w:fill="auto"/>
                  <w:vAlign w:val="center"/>
                </w:tcPr>
                <w:p w14:paraId="2372B34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010" w:type="dxa"/>
                  <w:tcBorders>
                    <w:tl2br w:val="nil"/>
                    <w:tr2bl w:val="nil"/>
                  </w:tcBorders>
                  <w:shd w:val="clear" w:color="auto" w:fill="auto"/>
                  <w:vAlign w:val="center"/>
                </w:tcPr>
                <w:p w14:paraId="3E1C5AC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3106</w:t>
                  </w:r>
                </w:p>
              </w:tc>
              <w:tc>
                <w:tcPr>
                  <w:tcW w:w="1306" w:type="dxa"/>
                  <w:vMerge w:val="continue"/>
                  <w:tcBorders>
                    <w:tl2br w:val="nil"/>
                    <w:tr2bl w:val="nil"/>
                  </w:tcBorders>
                  <w:shd w:val="clear" w:color="auto" w:fill="auto"/>
                  <w:vAlign w:val="center"/>
                </w:tcPr>
                <w:p w14:paraId="22AE845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2854FF8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114" w:type="dxa"/>
                  <w:vMerge w:val="continue"/>
                  <w:tcBorders>
                    <w:tl2br w:val="nil"/>
                    <w:tr2bl w:val="nil"/>
                  </w:tcBorders>
                  <w:shd w:val="clear" w:color="auto" w:fill="auto"/>
                  <w:vAlign w:val="center"/>
                </w:tcPr>
                <w:p w14:paraId="1FE4E0F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263" w:type="dxa"/>
                  <w:vMerge w:val="continue"/>
                  <w:tcBorders>
                    <w:tl2br w:val="nil"/>
                    <w:tr2bl w:val="nil"/>
                  </w:tcBorders>
                  <w:shd w:val="clear" w:color="auto" w:fill="auto"/>
                  <w:vAlign w:val="center"/>
                </w:tcPr>
                <w:p w14:paraId="4E214AD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96" w:type="dxa"/>
                  <w:vMerge w:val="continue"/>
                  <w:tcBorders>
                    <w:tl2br w:val="nil"/>
                    <w:tr2bl w:val="nil"/>
                  </w:tcBorders>
                  <w:shd w:val="clear" w:color="auto" w:fill="auto"/>
                  <w:vAlign w:val="center"/>
                </w:tcPr>
                <w:p w14:paraId="77EB7EF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127" w:type="dxa"/>
                  <w:vMerge w:val="continue"/>
                  <w:tcBorders>
                    <w:tl2br w:val="nil"/>
                    <w:tr2bl w:val="nil"/>
                  </w:tcBorders>
                  <w:shd w:val="clear" w:color="auto" w:fill="auto"/>
                  <w:vAlign w:val="center"/>
                </w:tcPr>
                <w:p w14:paraId="5A86989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55" w:type="dxa"/>
                  <w:vMerge w:val="continue"/>
                  <w:tcBorders>
                    <w:tl2br w:val="nil"/>
                    <w:tr2bl w:val="nil"/>
                  </w:tcBorders>
                  <w:shd w:val="clear" w:color="auto" w:fill="auto"/>
                  <w:vAlign w:val="center"/>
                </w:tcPr>
                <w:p w14:paraId="126DD94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010" w:type="dxa"/>
                  <w:tcBorders>
                    <w:tl2br w:val="nil"/>
                    <w:tr2bl w:val="nil"/>
                  </w:tcBorders>
                  <w:shd w:val="clear" w:color="auto" w:fill="auto"/>
                  <w:vAlign w:val="center"/>
                </w:tcPr>
                <w:p w14:paraId="4A42BA7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3326</w:t>
                  </w:r>
                </w:p>
              </w:tc>
              <w:tc>
                <w:tcPr>
                  <w:tcW w:w="1306" w:type="dxa"/>
                  <w:vMerge w:val="continue"/>
                  <w:tcBorders>
                    <w:tl2br w:val="nil"/>
                    <w:tr2bl w:val="nil"/>
                  </w:tcBorders>
                  <w:shd w:val="clear" w:color="auto" w:fill="auto"/>
                  <w:vAlign w:val="center"/>
                </w:tcPr>
                <w:p w14:paraId="625CA15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598BBF2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114" w:type="dxa"/>
                  <w:vMerge w:val="continue"/>
                  <w:tcBorders>
                    <w:tl2br w:val="nil"/>
                    <w:tr2bl w:val="nil"/>
                  </w:tcBorders>
                  <w:shd w:val="clear" w:color="auto" w:fill="auto"/>
                  <w:vAlign w:val="center"/>
                </w:tcPr>
                <w:p w14:paraId="3809C93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263" w:type="dxa"/>
                  <w:vMerge w:val="continue"/>
                  <w:tcBorders>
                    <w:tl2br w:val="nil"/>
                    <w:tr2bl w:val="nil"/>
                  </w:tcBorders>
                  <w:shd w:val="clear" w:color="auto" w:fill="auto"/>
                  <w:vAlign w:val="center"/>
                </w:tcPr>
                <w:p w14:paraId="51A6ECB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96" w:type="dxa"/>
                  <w:vMerge w:val="continue"/>
                  <w:tcBorders>
                    <w:tl2br w:val="nil"/>
                    <w:tr2bl w:val="nil"/>
                  </w:tcBorders>
                  <w:shd w:val="clear" w:color="auto" w:fill="auto"/>
                  <w:vAlign w:val="center"/>
                </w:tcPr>
                <w:p w14:paraId="0DD6B87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127" w:type="dxa"/>
                  <w:vMerge w:val="restart"/>
                  <w:tcBorders>
                    <w:tl2br w:val="nil"/>
                    <w:tr2bl w:val="nil"/>
                  </w:tcBorders>
                  <w:shd w:val="clear" w:color="auto" w:fill="auto"/>
                  <w:vAlign w:val="center"/>
                </w:tcPr>
                <w:p w14:paraId="02EB2DE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排放量</w:t>
                  </w:r>
                </w:p>
              </w:tc>
              <w:tc>
                <w:tcPr>
                  <w:tcW w:w="955" w:type="dxa"/>
                  <w:vMerge w:val="restart"/>
                  <w:tcBorders>
                    <w:tl2br w:val="nil"/>
                    <w:tr2bl w:val="nil"/>
                  </w:tcBorders>
                  <w:shd w:val="clear" w:color="auto" w:fill="auto"/>
                  <w:vAlign w:val="center"/>
                </w:tcPr>
                <w:p w14:paraId="763254B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kg/h</w:t>
                  </w:r>
                </w:p>
              </w:tc>
              <w:tc>
                <w:tcPr>
                  <w:tcW w:w="1010" w:type="dxa"/>
                  <w:tcBorders>
                    <w:tl2br w:val="nil"/>
                    <w:tr2bl w:val="nil"/>
                  </w:tcBorders>
                  <w:shd w:val="clear" w:color="auto" w:fill="auto"/>
                  <w:vAlign w:val="center"/>
                </w:tcPr>
                <w:p w14:paraId="12EC1EC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07</w:t>
                  </w:r>
                </w:p>
              </w:tc>
              <w:tc>
                <w:tcPr>
                  <w:tcW w:w="1306" w:type="dxa"/>
                  <w:vMerge w:val="restart"/>
                  <w:tcBorders>
                    <w:tl2br w:val="nil"/>
                    <w:tr2bl w:val="nil"/>
                  </w:tcBorders>
                  <w:shd w:val="clear" w:color="auto" w:fill="auto"/>
                  <w:vAlign w:val="center"/>
                </w:tcPr>
                <w:p w14:paraId="42C233A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r>
                    <w:rPr>
                      <w:rFonts w:hint="eastAsia" w:ascii="Times New Roman" w:hAnsi="Times New Roman" w:eastAsia="宋体" w:cs="宋体"/>
                      <w:bCs/>
                      <w:i w:val="0"/>
                      <w:iCs w:val="0"/>
                      <w:caps w:val="0"/>
                      <w:color w:val="000000"/>
                      <w:kern w:val="0"/>
                      <w:sz w:val="21"/>
                      <w:szCs w:val="21"/>
                      <w:highlight w:val="none"/>
                      <w:u w:val="none"/>
                      <w:lang w:val="en-US" w:eastAsia="zh-CN" w:bidi="ar"/>
                    </w:rPr>
                    <w:t>3.5</w:t>
                  </w:r>
                </w:p>
              </w:tc>
            </w:tr>
            <w:tr w14:paraId="0F1169B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114" w:type="dxa"/>
                  <w:vMerge w:val="continue"/>
                  <w:tcBorders>
                    <w:tl2br w:val="nil"/>
                    <w:tr2bl w:val="nil"/>
                  </w:tcBorders>
                  <w:shd w:val="clear" w:color="auto" w:fill="auto"/>
                  <w:vAlign w:val="center"/>
                </w:tcPr>
                <w:p w14:paraId="6AD0F39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263" w:type="dxa"/>
                  <w:vMerge w:val="continue"/>
                  <w:tcBorders>
                    <w:tl2br w:val="nil"/>
                    <w:tr2bl w:val="nil"/>
                  </w:tcBorders>
                  <w:shd w:val="clear" w:color="auto" w:fill="auto"/>
                  <w:vAlign w:val="center"/>
                </w:tcPr>
                <w:p w14:paraId="3363E93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96" w:type="dxa"/>
                  <w:vMerge w:val="continue"/>
                  <w:tcBorders>
                    <w:tl2br w:val="nil"/>
                    <w:tr2bl w:val="nil"/>
                  </w:tcBorders>
                  <w:shd w:val="clear" w:color="auto" w:fill="auto"/>
                  <w:vAlign w:val="center"/>
                </w:tcPr>
                <w:p w14:paraId="5331DA4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127" w:type="dxa"/>
                  <w:vMerge w:val="continue"/>
                  <w:tcBorders>
                    <w:tl2br w:val="nil"/>
                    <w:tr2bl w:val="nil"/>
                  </w:tcBorders>
                  <w:shd w:val="clear" w:color="auto" w:fill="auto"/>
                  <w:vAlign w:val="center"/>
                </w:tcPr>
                <w:p w14:paraId="4F859C3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55" w:type="dxa"/>
                  <w:vMerge w:val="continue"/>
                  <w:tcBorders>
                    <w:tl2br w:val="nil"/>
                    <w:tr2bl w:val="nil"/>
                  </w:tcBorders>
                  <w:shd w:val="clear" w:color="auto" w:fill="auto"/>
                  <w:vAlign w:val="center"/>
                </w:tcPr>
                <w:p w14:paraId="2310E4B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010" w:type="dxa"/>
                  <w:tcBorders>
                    <w:tl2br w:val="nil"/>
                    <w:tr2bl w:val="nil"/>
                  </w:tcBorders>
                  <w:shd w:val="clear" w:color="auto" w:fill="auto"/>
                  <w:vAlign w:val="center"/>
                </w:tcPr>
                <w:p w14:paraId="1A7A9C7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07</w:t>
                  </w:r>
                </w:p>
              </w:tc>
              <w:tc>
                <w:tcPr>
                  <w:tcW w:w="1306" w:type="dxa"/>
                  <w:vMerge w:val="continue"/>
                  <w:tcBorders>
                    <w:tl2br w:val="nil"/>
                    <w:tr2bl w:val="nil"/>
                  </w:tcBorders>
                  <w:shd w:val="clear" w:color="auto" w:fill="auto"/>
                  <w:vAlign w:val="center"/>
                </w:tcPr>
                <w:p w14:paraId="311A070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2994C6C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114" w:type="dxa"/>
                  <w:vMerge w:val="continue"/>
                  <w:tcBorders>
                    <w:tl2br w:val="nil"/>
                    <w:tr2bl w:val="nil"/>
                  </w:tcBorders>
                  <w:shd w:val="clear" w:color="auto" w:fill="auto"/>
                  <w:vAlign w:val="center"/>
                </w:tcPr>
                <w:p w14:paraId="0A3544F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263" w:type="dxa"/>
                  <w:vMerge w:val="continue"/>
                  <w:tcBorders>
                    <w:tl2br w:val="nil"/>
                    <w:tr2bl w:val="nil"/>
                  </w:tcBorders>
                  <w:shd w:val="clear" w:color="auto" w:fill="auto"/>
                  <w:vAlign w:val="center"/>
                </w:tcPr>
                <w:p w14:paraId="1AAFB4E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96" w:type="dxa"/>
                  <w:vMerge w:val="continue"/>
                  <w:tcBorders>
                    <w:tl2br w:val="nil"/>
                    <w:tr2bl w:val="nil"/>
                  </w:tcBorders>
                  <w:shd w:val="clear" w:color="auto" w:fill="auto"/>
                  <w:vAlign w:val="center"/>
                </w:tcPr>
                <w:p w14:paraId="2A009D2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127" w:type="dxa"/>
                  <w:vMerge w:val="continue"/>
                  <w:tcBorders>
                    <w:tl2br w:val="nil"/>
                    <w:tr2bl w:val="nil"/>
                  </w:tcBorders>
                  <w:shd w:val="clear" w:color="auto" w:fill="auto"/>
                  <w:vAlign w:val="center"/>
                </w:tcPr>
                <w:p w14:paraId="45F8456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55" w:type="dxa"/>
                  <w:vMerge w:val="continue"/>
                  <w:tcBorders>
                    <w:tl2br w:val="nil"/>
                    <w:tr2bl w:val="nil"/>
                  </w:tcBorders>
                  <w:shd w:val="clear" w:color="auto" w:fill="auto"/>
                  <w:vAlign w:val="center"/>
                </w:tcPr>
                <w:p w14:paraId="7181491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010" w:type="dxa"/>
                  <w:tcBorders>
                    <w:tl2br w:val="nil"/>
                    <w:tr2bl w:val="nil"/>
                  </w:tcBorders>
                  <w:shd w:val="clear" w:color="auto" w:fill="auto"/>
                  <w:vAlign w:val="center"/>
                </w:tcPr>
                <w:p w14:paraId="352402E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07</w:t>
                  </w:r>
                </w:p>
              </w:tc>
              <w:tc>
                <w:tcPr>
                  <w:tcW w:w="1306" w:type="dxa"/>
                  <w:vMerge w:val="continue"/>
                  <w:tcBorders>
                    <w:tl2br w:val="nil"/>
                    <w:tr2bl w:val="nil"/>
                  </w:tcBorders>
                  <w:shd w:val="clear" w:color="auto" w:fill="auto"/>
                  <w:vAlign w:val="center"/>
                </w:tcPr>
                <w:p w14:paraId="5E4774C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r>
            <w:tr w14:paraId="04D1FE7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114" w:type="dxa"/>
                  <w:vMerge w:val="continue"/>
                  <w:tcBorders>
                    <w:tl2br w:val="nil"/>
                    <w:tr2bl w:val="nil"/>
                  </w:tcBorders>
                  <w:shd w:val="clear" w:color="auto" w:fill="auto"/>
                  <w:vAlign w:val="center"/>
                </w:tcPr>
                <w:p w14:paraId="0A5CB56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263" w:type="dxa"/>
                  <w:vMerge w:val="continue"/>
                  <w:tcBorders>
                    <w:tl2br w:val="nil"/>
                    <w:tr2bl w:val="nil"/>
                  </w:tcBorders>
                  <w:shd w:val="clear" w:color="auto" w:fill="auto"/>
                  <w:vAlign w:val="center"/>
                </w:tcPr>
                <w:p w14:paraId="37491E5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96" w:type="dxa"/>
                  <w:vMerge w:val="continue"/>
                  <w:tcBorders>
                    <w:tl2br w:val="nil"/>
                    <w:tr2bl w:val="nil"/>
                  </w:tcBorders>
                  <w:shd w:val="clear" w:color="auto" w:fill="auto"/>
                  <w:vAlign w:val="center"/>
                </w:tcPr>
                <w:p w14:paraId="3AB6CB9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127" w:type="dxa"/>
                  <w:vMerge w:val="restart"/>
                  <w:tcBorders>
                    <w:tl2br w:val="nil"/>
                    <w:tr2bl w:val="nil"/>
                  </w:tcBorders>
                  <w:shd w:val="clear" w:color="auto" w:fill="auto"/>
                  <w:vAlign w:val="center"/>
                </w:tcPr>
                <w:p w14:paraId="0517778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浓度</w:t>
                  </w:r>
                </w:p>
              </w:tc>
              <w:tc>
                <w:tcPr>
                  <w:tcW w:w="955" w:type="dxa"/>
                  <w:vMerge w:val="restart"/>
                  <w:tcBorders>
                    <w:tl2br w:val="nil"/>
                    <w:tr2bl w:val="nil"/>
                  </w:tcBorders>
                  <w:shd w:val="clear" w:color="auto" w:fill="auto"/>
                  <w:vAlign w:val="center"/>
                </w:tcPr>
                <w:p w14:paraId="02A52D2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mg/m</w:t>
                  </w:r>
                  <w:r>
                    <w:rPr>
                      <w:rFonts w:hint="eastAsia" w:ascii="Times New Roman" w:hAnsi="Times New Roman" w:eastAsia="宋体" w:cs="宋体"/>
                      <w:bCs/>
                      <w:i w:val="0"/>
                      <w:iCs w:val="0"/>
                      <w:caps w:val="0"/>
                      <w:color w:val="000000"/>
                      <w:kern w:val="0"/>
                      <w:sz w:val="21"/>
                      <w:szCs w:val="21"/>
                      <w:highlight w:val="none"/>
                      <w:u w:val="none"/>
                      <w:vertAlign w:val="superscript"/>
                      <w:lang w:val="en-US" w:eastAsia="zh-CN" w:bidi="ar"/>
                    </w:rPr>
                    <w:t>3</w:t>
                  </w:r>
                </w:p>
              </w:tc>
              <w:tc>
                <w:tcPr>
                  <w:tcW w:w="1010" w:type="dxa"/>
                  <w:tcBorders>
                    <w:tl2br w:val="nil"/>
                    <w:tr2bl w:val="nil"/>
                  </w:tcBorders>
                  <w:shd w:val="clear" w:color="auto" w:fill="auto"/>
                  <w:vAlign w:val="center"/>
                </w:tcPr>
                <w:p w14:paraId="68C9CAD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21</w:t>
                  </w:r>
                </w:p>
              </w:tc>
              <w:tc>
                <w:tcPr>
                  <w:tcW w:w="1306" w:type="dxa"/>
                  <w:vMerge w:val="restart"/>
                  <w:tcBorders>
                    <w:tl2br w:val="nil"/>
                    <w:tr2bl w:val="nil"/>
                  </w:tcBorders>
                  <w:shd w:val="clear" w:color="auto" w:fill="auto"/>
                  <w:vAlign w:val="center"/>
                </w:tcPr>
                <w:p w14:paraId="2959577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r>
                    <w:rPr>
                      <w:rFonts w:hint="eastAsia" w:ascii="Times New Roman" w:hAnsi="Times New Roman" w:eastAsia="宋体" w:cs="宋体"/>
                      <w:bCs/>
                      <w:i w:val="0"/>
                      <w:iCs w:val="0"/>
                      <w:caps w:val="0"/>
                      <w:color w:val="000000"/>
                      <w:kern w:val="0"/>
                      <w:sz w:val="21"/>
                      <w:szCs w:val="21"/>
                      <w:highlight w:val="none"/>
                      <w:u w:val="none"/>
                      <w:lang w:val="en-US" w:eastAsia="zh-CN" w:bidi="ar"/>
                    </w:rPr>
                    <w:t>120</w:t>
                  </w:r>
                </w:p>
              </w:tc>
            </w:tr>
            <w:tr w14:paraId="470FEF8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114" w:type="dxa"/>
                  <w:vMerge w:val="continue"/>
                  <w:tcBorders>
                    <w:tl2br w:val="nil"/>
                    <w:tr2bl w:val="nil"/>
                  </w:tcBorders>
                  <w:shd w:val="clear" w:color="auto" w:fill="auto"/>
                  <w:vAlign w:val="center"/>
                </w:tcPr>
                <w:p w14:paraId="23CA0DE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263" w:type="dxa"/>
                  <w:vMerge w:val="continue"/>
                  <w:tcBorders>
                    <w:tl2br w:val="nil"/>
                    <w:tr2bl w:val="nil"/>
                  </w:tcBorders>
                  <w:shd w:val="clear" w:color="auto" w:fill="auto"/>
                  <w:vAlign w:val="center"/>
                </w:tcPr>
                <w:p w14:paraId="0A15A4C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96" w:type="dxa"/>
                  <w:vMerge w:val="continue"/>
                  <w:tcBorders>
                    <w:tl2br w:val="nil"/>
                    <w:tr2bl w:val="nil"/>
                  </w:tcBorders>
                  <w:shd w:val="clear" w:color="auto" w:fill="auto"/>
                  <w:vAlign w:val="center"/>
                </w:tcPr>
                <w:p w14:paraId="1371ED4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127" w:type="dxa"/>
                  <w:vMerge w:val="continue"/>
                  <w:tcBorders>
                    <w:tl2br w:val="nil"/>
                    <w:tr2bl w:val="nil"/>
                  </w:tcBorders>
                  <w:shd w:val="clear" w:color="auto" w:fill="auto"/>
                  <w:vAlign w:val="center"/>
                </w:tcPr>
                <w:p w14:paraId="5A696CE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55" w:type="dxa"/>
                  <w:vMerge w:val="continue"/>
                  <w:tcBorders>
                    <w:tl2br w:val="nil"/>
                    <w:tr2bl w:val="nil"/>
                  </w:tcBorders>
                  <w:shd w:val="clear" w:color="auto" w:fill="auto"/>
                  <w:vAlign w:val="center"/>
                </w:tcPr>
                <w:p w14:paraId="25B8362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010" w:type="dxa"/>
                  <w:tcBorders>
                    <w:tl2br w:val="nil"/>
                    <w:tr2bl w:val="nil"/>
                  </w:tcBorders>
                  <w:shd w:val="clear" w:color="auto" w:fill="auto"/>
                  <w:vAlign w:val="center"/>
                </w:tcPr>
                <w:p w14:paraId="105B2C5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21</w:t>
                  </w:r>
                </w:p>
              </w:tc>
              <w:tc>
                <w:tcPr>
                  <w:tcW w:w="1306" w:type="dxa"/>
                  <w:vMerge w:val="continue"/>
                  <w:tcBorders>
                    <w:tl2br w:val="nil"/>
                    <w:tr2bl w:val="nil"/>
                  </w:tcBorders>
                  <w:shd w:val="clear" w:color="auto" w:fill="auto"/>
                  <w:vAlign w:val="center"/>
                </w:tcPr>
                <w:p w14:paraId="6C905A4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304040"/>
                      <w:sz w:val="21"/>
                      <w:szCs w:val="21"/>
                      <w:highlight w:val="none"/>
                      <w:u w:val="none"/>
                    </w:rPr>
                  </w:pPr>
                </w:p>
              </w:tc>
            </w:tr>
            <w:tr w14:paraId="088A5CD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114" w:type="dxa"/>
                  <w:vMerge w:val="continue"/>
                  <w:tcBorders>
                    <w:tl2br w:val="nil"/>
                    <w:tr2bl w:val="nil"/>
                  </w:tcBorders>
                  <w:shd w:val="clear" w:color="auto" w:fill="auto"/>
                  <w:vAlign w:val="center"/>
                </w:tcPr>
                <w:p w14:paraId="4B2D52D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263" w:type="dxa"/>
                  <w:vMerge w:val="continue"/>
                  <w:tcBorders>
                    <w:tl2br w:val="nil"/>
                    <w:tr2bl w:val="nil"/>
                  </w:tcBorders>
                  <w:shd w:val="clear" w:color="auto" w:fill="auto"/>
                  <w:vAlign w:val="center"/>
                </w:tcPr>
                <w:p w14:paraId="01BB19C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96" w:type="dxa"/>
                  <w:vMerge w:val="continue"/>
                  <w:tcBorders>
                    <w:tl2br w:val="nil"/>
                    <w:tr2bl w:val="nil"/>
                  </w:tcBorders>
                  <w:shd w:val="clear" w:color="auto" w:fill="auto"/>
                  <w:vAlign w:val="center"/>
                </w:tcPr>
                <w:p w14:paraId="5C62D6E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127" w:type="dxa"/>
                  <w:vMerge w:val="continue"/>
                  <w:tcBorders>
                    <w:tl2br w:val="nil"/>
                    <w:tr2bl w:val="nil"/>
                  </w:tcBorders>
                  <w:shd w:val="clear" w:color="auto" w:fill="auto"/>
                  <w:vAlign w:val="center"/>
                </w:tcPr>
                <w:p w14:paraId="2A6DE54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955" w:type="dxa"/>
                  <w:vMerge w:val="continue"/>
                  <w:tcBorders>
                    <w:tl2br w:val="nil"/>
                    <w:tr2bl w:val="nil"/>
                  </w:tcBorders>
                  <w:shd w:val="clear" w:color="auto" w:fill="auto"/>
                  <w:vAlign w:val="center"/>
                </w:tcPr>
                <w:p w14:paraId="2608BD1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bCs/>
                      <w:i w:val="0"/>
                      <w:iCs w:val="0"/>
                      <w:caps w:val="0"/>
                      <w:color w:val="000000"/>
                      <w:kern w:val="0"/>
                      <w:sz w:val="21"/>
                      <w:szCs w:val="21"/>
                      <w:highlight w:val="none"/>
                      <w:u w:val="none"/>
                      <w:lang w:val="en-US" w:eastAsia="zh-CN" w:bidi="ar"/>
                    </w:rPr>
                  </w:pPr>
                </w:p>
              </w:tc>
              <w:tc>
                <w:tcPr>
                  <w:tcW w:w="1010" w:type="dxa"/>
                  <w:tcBorders>
                    <w:tl2br w:val="nil"/>
                    <w:tr2bl w:val="nil"/>
                  </w:tcBorders>
                  <w:shd w:val="clear" w:color="auto" w:fill="auto"/>
                  <w:vAlign w:val="center"/>
                </w:tcPr>
                <w:p w14:paraId="4F0D0F2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bCs/>
                      <w:i w:val="0"/>
                      <w:iCs w:val="0"/>
                      <w:caps w:val="0"/>
                      <w:color w:val="000000"/>
                      <w:kern w:val="0"/>
                      <w:sz w:val="21"/>
                      <w:szCs w:val="21"/>
                      <w:highlight w:val="none"/>
                      <w:u w:val="none"/>
                      <w:lang w:val="en-US" w:eastAsia="zh-CN" w:bidi="ar"/>
                    </w:rPr>
                  </w:pPr>
                  <w:r>
                    <w:rPr>
                      <w:rFonts w:ascii="Times New Roman" w:hAnsi="Times New Roman" w:eastAsia="宋体" w:cs="宋体"/>
                      <w:bCs/>
                      <w:i w:val="0"/>
                      <w:iCs w:val="0"/>
                      <w:caps w:val="0"/>
                      <w:color w:val="000000"/>
                      <w:kern w:val="0"/>
                      <w:sz w:val="21"/>
                      <w:szCs w:val="21"/>
                      <w:highlight w:val="none"/>
                      <w:u w:val="none"/>
                      <w:lang w:val="en-US" w:eastAsia="zh-CN" w:bidi="ar"/>
                    </w:rPr>
                    <w:t>21</w:t>
                  </w:r>
                </w:p>
              </w:tc>
              <w:tc>
                <w:tcPr>
                  <w:tcW w:w="1306" w:type="dxa"/>
                  <w:vMerge w:val="continue"/>
                  <w:tcBorders>
                    <w:tl2br w:val="nil"/>
                    <w:tr2bl w:val="nil"/>
                  </w:tcBorders>
                  <w:shd w:val="clear" w:color="auto" w:fill="auto"/>
                  <w:vAlign w:val="center"/>
                </w:tcPr>
                <w:p w14:paraId="0C63E9B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304040"/>
                      <w:sz w:val="21"/>
                      <w:szCs w:val="21"/>
                      <w:highlight w:val="none"/>
                      <w:u w:val="none"/>
                    </w:rPr>
                  </w:pPr>
                </w:p>
              </w:tc>
            </w:tr>
          </w:tbl>
          <w:p w14:paraId="70ECF9F1">
            <w:pPr>
              <w:adjustRightInd w:val="0"/>
              <w:snapToGrid w:val="0"/>
              <w:spacing w:before="120" w:beforeLines="50" w:line="360" w:lineRule="auto"/>
              <w:ind w:left="0" w:leftChars="0" w:firstLine="0" w:firstLineChars="0"/>
              <w:jc w:val="center"/>
              <w:rPr>
                <w:rFonts w:hint="default" w:ascii="Times New Roman" w:hAnsi="Times New Roman" w:eastAsia="宋体" w:cs="宋体"/>
                <w:b/>
                <w:bCs/>
                <w:caps w:val="0"/>
                <w:sz w:val="21"/>
                <w:szCs w:val="21"/>
                <w:highlight w:val="none"/>
                <w:lang w:val="en-US" w:eastAsia="zh-CN"/>
              </w:rPr>
            </w:pPr>
            <w:r>
              <w:rPr>
                <w:rFonts w:hint="eastAsia" w:ascii="Times New Roman" w:hAnsi="Times New Roman" w:eastAsia="宋体" w:cs="宋体"/>
                <w:b/>
                <w:bCs/>
                <w:caps w:val="0"/>
                <w:sz w:val="21"/>
                <w:szCs w:val="21"/>
                <w:highlight w:val="none"/>
                <w:lang w:val="en-US" w:eastAsia="zh-CN"/>
              </w:rPr>
              <w:t>表2-</w:t>
            </w:r>
            <w:r>
              <w:rPr>
                <w:rFonts w:hint="eastAsia" w:ascii="Times New Roman" w:hAnsi="Times New Roman" w:cs="宋体"/>
                <w:b/>
                <w:bCs/>
                <w:caps w:val="0"/>
                <w:sz w:val="21"/>
                <w:szCs w:val="21"/>
                <w:highlight w:val="none"/>
                <w:lang w:val="en-US" w:eastAsia="zh-CN"/>
              </w:rPr>
              <w:t>7</w:t>
            </w:r>
            <w:r>
              <w:rPr>
                <w:rFonts w:hint="eastAsia" w:ascii="Times New Roman" w:hAnsi="Times New Roman" w:eastAsia="宋体" w:cs="宋体"/>
                <w:b/>
                <w:bCs/>
                <w:caps w:val="0"/>
                <w:sz w:val="21"/>
                <w:szCs w:val="21"/>
                <w:highlight w:val="none"/>
                <w:lang w:val="en-US" w:eastAsia="zh-CN"/>
              </w:rPr>
              <w:t xml:space="preserve"> 无组织监测结果</w:t>
            </w:r>
          </w:p>
          <w:tbl>
            <w:tblPr>
              <w:tblStyle w:val="35"/>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252"/>
              <w:gridCol w:w="1298"/>
              <w:gridCol w:w="1422"/>
              <w:gridCol w:w="895"/>
              <w:gridCol w:w="1454"/>
              <w:gridCol w:w="1450"/>
            </w:tblGrid>
            <w:tr w14:paraId="0E8EF60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tcBorders>
                    <w:tl2br w:val="nil"/>
                    <w:tr2bl w:val="nil"/>
                  </w:tcBorders>
                  <w:shd w:val="clear" w:color="auto" w:fill="auto"/>
                  <w:vAlign w:val="center"/>
                </w:tcPr>
                <w:p w14:paraId="67A724A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分析日期</w:t>
                  </w:r>
                </w:p>
              </w:tc>
              <w:tc>
                <w:tcPr>
                  <w:tcW w:w="2220" w:type="dxa"/>
                  <w:tcBorders>
                    <w:tl2br w:val="nil"/>
                    <w:tr2bl w:val="nil"/>
                  </w:tcBorders>
                  <w:shd w:val="clear" w:color="auto" w:fill="auto"/>
                  <w:vAlign w:val="center"/>
                </w:tcPr>
                <w:p w14:paraId="33872C2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检测项目</w:t>
                  </w:r>
                </w:p>
              </w:tc>
              <w:tc>
                <w:tcPr>
                  <w:tcW w:w="2450" w:type="dxa"/>
                  <w:tcBorders>
                    <w:tl2br w:val="nil"/>
                    <w:tr2bl w:val="nil"/>
                  </w:tcBorders>
                  <w:shd w:val="clear" w:color="auto" w:fill="auto"/>
                  <w:vAlign w:val="center"/>
                </w:tcPr>
                <w:p w14:paraId="62F32B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检测点位</w:t>
                  </w:r>
                </w:p>
              </w:tc>
              <w:tc>
                <w:tcPr>
                  <w:tcW w:w="1471" w:type="dxa"/>
                  <w:tcBorders>
                    <w:tl2br w:val="nil"/>
                    <w:tr2bl w:val="nil"/>
                  </w:tcBorders>
                  <w:shd w:val="clear" w:color="auto" w:fill="auto"/>
                  <w:vAlign w:val="center"/>
                </w:tcPr>
                <w:p w14:paraId="5776ECD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单位</w:t>
                  </w:r>
                </w:p>
              </w:tc>
              <w:tc>
                <w:tcPr>
                  <w:tcW w:w="2510" w:type="dxa"/>
                  <w:tcBorders>
                    <w:tl2br w:val="nil"/>
                    <w:tr2bl w:val="nil"/>
                  </w:tcBorders>
                  <w:shd w:val="clear" w:color="auto" w:fill="auto"/>
                  <w:vAlign w:val="center"/>
                </w:tcPr>
                <w:p w14:paraId="014D67E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检测结果</w:t>
                  </w:r>
                </w:p>
              </w:tc>
              <w:tc>
                <w:tcPr>
                  <w:tcW w:w="2500" w:type="dxa"/>
                  <w:tcBorders>
                    <w:tl2br w:val="nil"/>
                    <w:tr2bl w:val="nil"/>
                  </w:tcBorders>
                  <w:shd w:val="clear" w:color="auto" w:fill="auto"/>
                  <w:vAlign w:val="center"/>
                </w:tcPr>
                <w:p w14:paraId="5E38433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《大气污染物综合排放标准》</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GB16297-1996</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表2</w:t>
                  </w:r>
                </w:p>
              </w:tc>
            </w:tr>
            <w:tr w14:paraId="28297E4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restart"/>
                  <w:tcBorders>
                    <w:tl2br w:val="nil"/>
                    <w:tr2bl w:val="nil"/>
                  </w:tcBorders>
                  <w:shd w:val="clear" w:color="auto" w:fill="auto"/>
                  <w:vAlign w:val="center"/>
                </w:tcPr>
                <w:p w14:paraId="7660F42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2024</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02</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29</w:t>
                  </w:r>
                </w:p>
              </w:tc>
              <w:tc>
                <w:tcPr>
                  <w:tcW w:w="2220" w:type="dxa"/>
                  <w:vMerge w:val="restart"/>
                  <w:tcBorders>
                    <w:tl2br w:val="nil"/>
                    <w:tr2bl w:val="nil"/>
                  </w:tcBorders>
                  <w:shd w:val="clear" w:color="auto" w:fill="auto"/>
                  <w:vAlign w:val="center"/>
                </w:tcPr>
                <w:p w14:paraId="029F93B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颗粒物</w:t>
                  </w:r>
                </w:p>
              </w:tc>
              <w:tc>
                <w:tcPr>
                  <w:tcW w:w="2450" w:type="dxa"/>
                  <w:vMerge w:val="restart"/>
                  <w:tcBorders>
                    <w:tl2br w:val="nil"/>
                    <w:tr2bl w:val="nil"/>
                  </w:tcBorders>
                  <w:shd w:val="clear" w:color="auto" w:fill="auto"/>
                  <w:vAlign w:val="center"/>
                </w:tcPr>
                <w:p w14:paraId="0EF85BC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上风向</w:t>
                  </w:r>
                </w:p>
              </w:tc>
              <w:tc>
                <w:tcPr>
                  <w:tcW w:w="1471" w:type="dxa"/>
                  <w:vMerge w:val="restart"/>
                  <w:tcBorders>
                    <w:tl2br w:val="nil"/>
                    <w:tr2bl w:val="nil"/>
                  </w:tcBorders>
                  <w:shd w:val="clear" w:color="auto" w:fill="auto"/>
                  <w:vAlign w:val="center"/>
                </w:tcPr>
                <w:p w14:paraId="3226CC0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mg/m³</w:t>
                  </w:r>
                </w:p>
              </w:tc>
              <w:tc>
                <w:tcPr>
                  <w:tcW w:w="2510" w:type="dxa"/>
                  <w:tcBorders>
                    <w:tl2br w:val="nil"/>
                    <w:tr2bl w:val="nil"/>
                  </w:tcBorders>
                  <w:shd w:val="clear" w:color="auto" w:fill="auto"/>
                  <w:vAlign w:val="center"/>
                </w:tcPr>
                <w:p w14:paraId="5F56455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166</w:t>
                  </w:r>
                </w:p>
              </w:tc>
              <w:tc>
                <w:tcPr>
                  <w:tcW w:w="2500" w:type="dxa"/>
                  <w:vMerge w:val="restart"/>
                  <w:tcBorders>
                    <w:tl2br w:val="nil"/>
                    <w:tr2bl w:val="nil"/>
                  </w:tcBorders>
                  <w:shd w:val="clear" w:color="auto" w:fill="auto"/>
                  <w:vAlign w:val="center"/>
                </w:tcPr>
                <w:p w14:paraId="04FC13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1</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0</w:t>
                  </w:r>
                </w:p>
              </w:tc>
            </w:tr>
            <w:tr w14:paraId="65D35C8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622B863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0F8E0E1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02C01CD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088E0E4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0A2195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183</w:t>
                  </w:r>
                </w:p>
              </w:tc>
              <w:tc>
                <w:tcPr>
                  <w:tcW w:w="2500" w:type="dxa"/>
                  <w:vMerge w:val="continue"/>
                  <w:tcBorders>
                    <w:tl2br w:val="nil"/>
                    <w:tr2bl w:val="nil"/>
                  </w:tcBorders>
                  <w:shd w:val="clear" w:color="auto" w:fill="auto"/>
                  <w:vAlign w:val="center"/>
                </w:tcPr>
                <w:p w14:paraId="4260E48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6EA151C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1812245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3DCF474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4E9C2C2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68EE399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008BE63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166</w:t>
                  </w:r>
                </w:p>
              </w:tc>
              <w:tc>
                <w:tcPr>
                  <w:tcW w:w="2500" w:type="dxa"/>
                  <w:vMerge w:val="continue"/>
                  <w:tcBorders>
                    <w:tl2br w:val="nil"/>
                    <w:tr2bl w:val="nil"/>
                  </w:tcBorders>
                  <w:shd w:val="clear" w:color="auto" w:fill="auto"/>
                  <w:vAlign w:val="center"/>
                </w:tcPr>
                <w:p w14:paraId="5D276BB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55E8AB2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66709E5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2DFC362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28E8619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3493F33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73F1F78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183</w:t>
                  </w:r>
                </w:p>
              </w:tc>
              <w:tc>
                <w:tcPr>
                  <w:tcW w:w="2500" w:type="dxa"/>
                  <w:vMerge w:val="continue"/>
                  <w:tcBorders>
                    <w:tl2br w:val="nil"/>
                    <w:tr2bl w:val="nil"/>
                  </w:tcBorders>
                  <w:shd w:val="clear" w:color="auto" w:fill="auto"/>
                  <w:vAlign w:val="center"/>
                </w:tcPr>
                <w:p w14:paraId="69A831E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15E00B0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7DABDD7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48496F2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restart"/>
                  <w:tcBorders>
                    <w:tl2br w:val="nil"/>
                    <w:tr2bl w:val="nil"/>
                  </w:tcBorders>
                  <w:shd w:val="clear" w:color="auto" w:fill="auto"/>
                  <w:vAlign w:val="center"/>
                </w:tcPr>
                <w:p w14:paraId="117BB94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下风向1</w:t>
                  </w:r>
                </w:p>
              </w:tc>
              <w:tc>
                <w:tcPr>
                  <w:tcW w:w="1471" w:type="dxa"/>
                  <w:vMerge w:val="continue"/>
                  <w:tcBorders>
                    <w:tl2br w:val="nil"/>
                    <w:tr2bl w:val="nil"/>
                  </w:tcBorders>
                  <w:shd w:val="clear" w:color="auto" w:fill="auto"/>
                  <w:vAlign w:val="center"/>
                </w:tcPr>
                <w:p w14:paraId="67D1E71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56BA98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299</w:t>
                  </w:r>
                </w:p>
              </w:tc>
              <w:tc>
                <w:tcPr>
                  <w:tcW w:w="2500" w:type="dxa"/>
                  <w:vMerge w:val="continue"/>
                  <w:tcBorders>
                    <w:tl2br w:val="nil"/>
                    <w:tr2bl w:val="nil"/>
                  </w:tcBorders>
                  <w:shd w:val="clear" w:color="auto" w:fill="auto"/>
                  <w:vAlign w:val="center"/>
                </w:tcPr>
                <w:p w14:paraId="259BCB9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1215858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32B7952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1F31E4B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49E7E47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27E25B9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1E1319E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316</w:t>
                  </w:r>
                </w:p>
              </w:tc>
              <w:tc>
                <w:tcPr>
                  <w:tcW w:w="2500" w:type="dxa"/>
                  <w:vMerge w:val="continue"/>
                  <w:tcBorders>
                    <w:tl2br w:val="nil"/>
                    <w:tr2bl w:val="nil"/>
                  </w:tcBorders>
                  <w:shd w:val="clear" w:color="auto" w:fill="auto"/>
                  <w:vAlign w:val="center"/>
                </w:tcPr>
                <w:p w14:paraId="6AD7EF3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60615BC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0782945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50F199E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7470180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6511224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1B02809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283</w:t>
                  </w:r>
                </w:p>
              </w:tc>
              <w:tc>
                <w:tcPr>
                  <w:tcW w:w="2500" w:type="dxa"/>
                  <w:vMerge w:val="continue"/>
                  <w:tcBorders>
                    <w:tl2br w:val="nil"/>
                    <w:tr2bl w:val="nil"/>
                  </w:tcBorders>
                  <w:shd w:val="clear" w:color="auto" w:fill="auto"/>
                  <w:vAlign w:val="center"/>
                </w:tcPr>
                <w:p w14:paraId="4C3F4BC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112025E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2B93E02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5FCC433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4372F0B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4D81DF3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7CB4D5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316</w:t>
                  </w:r>
                </w:p>
              </w:tc>
              <w:tc>
                <w:tcPr>
                  <w:tcW w:w="2500" w:type="dxa"/>
                  <w:vMerge w:val="continue"/>
                  <w:tcBorders>
                    <w:tl2br w:val="nil"/>
                    <w:tr2bl w:val="nil"/>
                  </w:tcBorders>
                  <w:shd w:val="clear" w:color="auto" w:fill="auto"/>
                  <w:vAlign w:val="center"/>
                </w:tcPr>
                <w:p w14:paraId="644B658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5D1072F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53881A4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351818A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restart"/>
                  <w:tcBorders>
                    <w:tl2br w:val="nil"/>
                    <w:tr2bl w:val="nil"/>
                  </w:tcBorders>
                  <w:shd w:val="clear" w:color="auto" w:fill="auto"/>
                  <w:vAlign w:val="center"/>
                </w:tcPr>
                <w:p w14:paraId="6EC7BE5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下风向2</w:t>
                  </w:r>
                </w:p>
              </w:tc>
              <w:tc>
                <w:tcPr>
                  <w:tcW w:w="1471" w:type="dxa"/>
                  <w:vMerge w:val="continue"/>
                  <w:tcBorders>
                    <w:tl2br w:val="nil"/>
                    <w:tr2bl w:val="nil"/>
                  </w:tcBorders>
                  <w:shd w:val="clear" w:color="auto" w:fill="auto"/>
                  <w:vAlign w:val="center"/>
                </w:tcPr>
                <w:p w14:paraId="5070BE2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4AC7910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283</w:t>
                  </w:r>
                </w:p>
              </w:tc>
              <w:tc>
                <w:tcPr>
                  <w:tcW w:w="2500" w:type="dxa"/>
                  <w:vMerge w:val="continue"/>
                  <w:tcBorders>
                    <w:tl2br w:val="nil"/>
                    <w:tr2bl w:val="nil"/>
                  </w:tcBorders>
                  <w:shd w:val="clear" w:color="auto" w:fill="auto"/>
                  <w:vAlign w:val="center"/>
                </w:tcPr>
                <w:p w14:paraId="6590104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5F0EE54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27190BE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5190D3A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5EFA1F5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443EF51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1BE6147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300</w:t>
                  </w:r>
                </w:p>
              </w:tc>
              <w:tc>
                <w:tcPr>
                  <w:tcW w:w="2500" w:type="dxa"/>
                  <w:vMerge w:val="continue"/>
                  <w:tcBorders>
                    <w:tl2br w:val="nil"/>
                    <w:tr2bl w:val="nil"/>
                  </w:tcBorders>
                  <w:shd w:val="clear" w:color="auto" w:fill="auto"/>
                  <w:vAlign w:val="center"/>
                </w:tcPr>
                <w:p w14:paraId="3073D50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0E7B3C7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59C649E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2B97DFC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065B8B8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4F089A2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1944E19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316</w:t>
                  </w:r>
                </w:p>
              </w:tc>
              <w:tc>
                <w:tcPr>
                  <w:tcW w:w="2500" w:type="dxa"/>
                  <w:vMerge w:val="continue"/>
                  <w:tcBorders>
                    <w:tl2br w:val="nil"/>
                    <w:tr2bl w:val="nil"/>
                  </w:tcBorders>
                  <w:shd w:val="clear" w:color="auto" w:fill="auto"/>
                  <w:vAlign w:val="center"/>
                </w:tcPr>
                <w:p w14:paraId="459F799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1224476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11FA06A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4A57F16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51091A2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496175D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21C9E48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316</w:t>
                  </w:r>
                </w:p>
              </w:tc>
              <w:tc>
                <w:tcPr>
                  <w:tcW w:w="2500" w:type="dxa"/>
                  <w:vMerge w:val="continue"/>
                  <w:tcBorders>
                    <w:tl2br w:val="nil"/>
                    <w:tr2bl w:val="nil"/>
                  </w:tcBorders>
                  <w:shd w:val="clear" w:color="auto" w:fill="auto"/>
                  <w:vAlign w:val="center"/>
                </w:tcPr>
                <w:p w14:paraId="0EB7D57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108B295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208D55A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6EEB678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restart"/>
                  <w:tcBorders>
                    <w:tl2br w:val="nil"/>
                    <w:tr2bl w:val="nil"/>
                  </w:tcBorders>
                  <w:shd w:val="clear" w:color="auto" w:fill="auto"/>
                  <w:vAlign w:val="center"/>
                </w:tcPr>
                <w:p w14:paraId="41BC1BD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下风向3</w:t>
                  </w:r>
                </w:p>
              </w:tc>
              <w:tc>
                <w:tcPr>
                  <w:tcW w:w="1471" w:type="dxa"/>
                  <w:vMerge w:val="continue"/>
                  <w:tcBorders>
                    <w:tl2br w:val="nil"/>
                    <w:tr2bl w:val="nil"/>
                  </w:tcBorders>
                  <w:shd w:val="clear" w:color="auto" w:fill="auto"/>
                  <w:vAlign w:val="center"/>
                </w:tcPr>
                <w:p w14:paraId="5F5D733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0FC12F0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333</w:t>
                  </w:r>
                </w:p>
              </w:tc>
              <w:tc>
                <w:tcPr>
                  <w:tcW w:w="2500" w:type="dxa"/>
                  <w:vMerge w:val="continue"/>
                  <w:tcBorders>
                    <w:tl2br w:val="nil"/>
                    <w:tr2bl w:val="nil"/>
                  </w:tcBorders>
                  <w:shd w:val="clear" w:color="auto" w:fill="auto"/>
                  <w:vAlign w:val="center"/>
                </w:tcPr>
                <w:p w14:paraId="59BDC97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4CA93F1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4E70850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5E2E746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4B3D22E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354156D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554E723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316</w:t>
                  </w:r>
                </w:p>
              </w:tc>
              <w:tc>
                <w:tcPr>
                  <w:tcW w:w="2500" w:type="dxa"/>
                  <w:vMerge w:val="continue"/>
                  <w:tcBorders>
                    <w:tl2br w:val="nil"/>
                    <w:tr2bl w:val="nil"/>
                  </w:tcBorders>
                  <w:shd w:val="clear" w:color="auto" w:fill="auto"/>
                  <w:vAlign w:val="center"/>
                </w:tcPr>
                <w:p w14:paraId="1F30194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045FE8E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6C9F7A6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52884B6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77C4CFA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2F05A4B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70C3114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299</w:t>
                  </w:r>
                </w:p>
              </w:tc>
              <w:tc>
                <w:tcPr>
                  <w:tcW w:w="2500" w:type="dxa"/>
                  <w:vMerge w:val="continue"/>
                  <w:tcBorders>
                    <w:tl2br w:val="nil"/>
                    <w:tr2bl w:val="nil"/>
                  </w:tcBorders>
                  <w:shd w:val="clear" w:color="auto" w:fill="auto"/>
                  <w:vAlign w:val="center"/>
                </w:tcPr>
                <w:p w14:paraId="0E9FE6F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r w14:paraId="2E44366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2135" w:type="dxa"/>
                  <w:vMerge w:val="continue"/>
                  <w:tcBorders>
                    <w:tl2br w:val="nil"/>
                    <w:tr2bl w:val="nil"/>
                  </w:tcBorders>
                  <w:shd w:val="clear" w:color="auto" w:fill="auto"/>
                  <w:vAlign w:val="center"/>
                </w:tcPr>
                <w:p w14:paraId="6F31A85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220" w:type="dxa"/>
                  <w:vMerge w:val="continue"/>
                  <w:tcBorders>
                    <w:tl2br w:val="nil"/>
                    <w:tr2bl w:val="nil"/>
                  </w:tcBorders>
                  <w:shd w:val="clear" w:color="auto" w:fill="auto"/>
                  <w:vAlign w:val="center"/>
                </w:tcPr>
                <w:p w14:paraId="1D599A6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450" w:type="dxa"/>
                  <w:vMerge w:val="continue"/>
                  <w:tcBorders>
                    <w:tl2br w:val="nil"/>
                    <w:tr2bl w:val="nil"/>
                  </w:tcBorders>
                  <w:shd w:val="clear" w:color="auto" w:fill="auto"/>
                  <w:vAlign w:val="center"/>
                </w:tcPr>
                <w:p w14:paraId="691DDE7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1471" w:type="dxa"/>
                  <w:vMerge w:val="continue"/>
                  <w:tcBorders>
                    <w:tl2br w:val="nil"/>
                    <w:tr2bl w:val="nil"/>
                  </w:tcBorders>
                  <w:shd w:val="clear" w:color="auto" w:fill="auto"/>
                  <w:vAlign w:val="center"/>
                </w:tcPr>
                <w:p w14:paraId="2A93FFC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c>
                <w:tcPr>
                  <w:tcW w:w="2510" w:type="dxa"/>
                  <w:tcBorders>
                    <w:tl2br w:val="nil"/>
                    <w:tr2bl w:val="nil"/>
                  </w:tcBorders>
                  <w:shd w:val="clear" w:color="auto" w:fill="auto"/>
                  <w:vAlign w:val="center"/>
                </w:tcPr>
                <w:p w14:paraId="085649B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top"/>
                    <w:rPr>
                      <w:rFonts w:ascii="Times New Roman" w:hAnsi="Times New Roman" w:eastAsia="宋体" w:cs="宋体"/>
                      <w:i w:val="0"/>
                      <w:iCs w:val="0"/>
                      <w:caps w:val="0"/>
                      <w:color w:val="000000"/>
                      <w:sz w:val="21"/>
                      <w:szCs w:val="21"/>
                      <w:highlight w:val="none"/>
                      <w:u w:val="none"/>
                    </w:rPr>
                  </w:pPr>
                  <w:r>
                    <w:rPr>
                      <w:rFonts w:ascii="Times New Roman" w:hAnsi="Times New Roman" w:eastAsia="宋体" w:cs="宋体"/>
                      <w:bCs/>
                      <w:i w:val="0"/>
                      <w:iCs w:val="0"/>
                      <w:caps w:val="0"/>
                      <w:color w:val="000000"/>
                      <w:kern w:val="0"/>
                      <w:sz w:val="21"/>
                      <w:szCs w:val="21"/>
                      <w:highlight w:val="none"/>
                      <w:u w:val="none"/>
                      <w:lang w:val="en-US" w:eastAsia="zh-CN" w:bidi="ar"/>
                    </w:rPr>
                    <w:t>0</w:t>
                  </w:r>
                  <w:r>
                    <w:rPr>
                      <w:rFonts w:hint="eastAsia" w:ascii="Times New Roman" w:hAnsi="Times New Roman" w:eastAsia="宋体" w:cs="宋体"/>
                      <w:bCs/>
                      <w:i w:val="0"/>
                      <w:iCs w:val="0"/>
                      <w:caps w:val="0"/>
                      <w:color w:val="000000"/>
                      <w:kern w:val="0"/>
                      <w:sz w:val="21"/>
                      <w:szCs w:val="21"/>
                      <w:highlight w:val="none"/>
                      <w:u w:val="none"/>
                      <w:lang w:val="en-US" w:eastAsia="zh-CN" w:bidi="ar"/>
                    </w:rPr>
                    <w:t>.</w:t>
                  </w:r>
                  <w:r>
                    <w:rPr>
                      <w:rFonts w:ascii="Times New Roman" w:hAnsi="Times New Roman" w:eastAsia="宋体" w:cs="宋体"/>
                      <w:bCs/>
                      <w:i w:val="0"/>
                      <w:iCs w:val="0"/>
                      <w:caps w:val="0"/>
                      <w:color w:val="000000"/>
                      <w:kern w:val="0"/>
                      <w:sz w:val="21"/>
                      <w:szCs w:val="21"/>
                      <w:highlight w:val="none"/>
                      <w:u w:val="none"/>
                      <w:lang w:val="en-US" w:eastAsia="zh-CN" w:bidi="ar"/>
                    </w:rPr>
                    <w:t>316</w:t>
                  </w:r>
                </w:p>
              </w:tc>
              <w:tc>
                <w:tcPr>
                  <w:tcW w:w="2500" w:type="dxa"/>
                  <w:vMerge w:val="continue"/>
                  <w:tcBorders>
                    <w:tl2br w:val="nil"/>
                    <w:tr2bl w:val="nil"/>
                  </w:tcBorders>
                  <w:shd w:val="clear" w:color="auto" w:fill="auto"/>
                  <w:vAlign w:val="center"/>
                </w:tcPr>
                <w:p w14:paraId="1BC3D9E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aps w:val="0"/>
                      <w:color w:val="000000"/>
                      <w:sz w:val="21"/>
                      <w:szCs w:val="21"/>
                      <w:highlight w:val="none"/>
                      <w:u w:val="none"/>
                    </w:rPr>
                  </w:pPr>
                </w:p>
              </w:tc>
            </w:tr>
          </w:tbl>
          <w:p w14:paraId="0239BCA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宋体"/>
                <w:b w:val="0"/>
                <w:bCs w:val="0"/>
                <w:caps w:val="0"/>
                <w:sz w:val="24"/>
                <w:highlight w:val="none"/>
                <w:lang w:val="en-US" w:eastAsia="zh-CN"/>
              </w:rPr>
            </w:pPr>
            <w:r>
              <w:rPr>
                <w:highlight w:val="none"/>
              </w:rPr>
              <w:drawing>
                <wp:inline distT="0" distB="0" distL="114300" distR="114300">
                  <wp:extent cx="4933950" cy="4042410"/>
                  <wp:effectExtent l="0" t="0" r="0" b="1524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23"/>
                          <a:stretch>
                            <a:fillRect/>
                          </a:stretch>
                        </pic:blipFill>
                        <pic:spPr>
                          <a:xfrm>
                            <a:off x="0" y="0"/>
                            <a:ext cx="4933950" cy="4042410"/>
                          </a:xfrm>
                          <a:prstGeom prst="rect">
                            <a:avLst/>
                          </a:prstGeom>
                          <a:noFill/>
                          <a:ln>
                            <a:noFill/>
                          </a:ln>
                        </pic:spPr>
                      </pic:pic>
                    </a:graphicData>
                  </a:graphic>
                </wp:inline>
              </w:drawing>
            </w:r>
          </w:p>
          <w:p w14:paraId="1452C95D">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jc w:val="center"/>
              <w:textAlignment w:val="auto"/>
              <w:rPr>
                <w:rFonts w:hint="default" w:ascii="Times New Roman" w:hAnsi="Times New Roman" w:eastAsia="宋体" w:cs="宋体"/>
                <w:b/>
                <w:bCs/>
                <w:caps w:val="0"/>
                <w:sz w:val="24"/>
                <w:highlight w:val="none"/>
                <w:lang w:val="en-US" w:eastAsia="zh-CN"/>
              </w:rPr>
            </w:pPr>
            <w:r>
              <w:rPr>
                <w:rFonts w:hint="eastAsia" w:ascii="Times New Roman" w:hAnsi="Times New Roman" w:eastAsia="宋体" w:cs="宋体"/>
                <w:b/>
                <w:bCs/>
                <w:caps w:val="0"/>
                <w:sz w:val="24"/>
                <w:highlight w:val="none"/>
                <w:lang w:val="en-US" w:eastAsia="zh-CN"/>
              </w:rPr>
              <w:t>图2-2 有组织监测点位图</w:t>
            </w:r>
          </w:p>
          <w:p w14:paraId="18B3080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宋体"/>
                <w:b w:val="0"/>
                <w:bCs w:val="0"/>
                <w:caps w:val="0"/>
                <w:sz w:val="24"/>
                <w:highlight w:val="none"/>
                <w:lang w:val="en-US" w:eastAsia="zh-CN"/>
              </w:rPr>
            </w:pPr>
            <w:r>
              <w:rPr>
                <w:highlight w:val="none"/>
              </w:rPr>
              <w:drawing>
                <wp:inline distT="0" distB="0" distL="114300" distR="114300">
                  <wp:extent cx="4933315" cy="3549015"/>
                  <wp:effectExtent l="0" t="0" r="635" b="13335"/>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24"/>
                          <a:stretch>
                            <a:fillRect/>
                          </a:stretch>
                        </pic:blipFill>
                        <pic:spPr>
                          <a:xfrm>
                            <a:off x="0" y="0"/>
                            <a:ext cx="4933315" cy="3549015"/>
                          </a:xfrm>
                          <a:prstGeom prst="rect">
                            <a:avLst/>
                          </a:prstGeom>
                          <a:noFill/>
                          <a:ln>
                            <a:noFill/>
                          </a:ln>
                        </pic:spPr>
                      </pic:pic>
                    </a:graphicData>
                  </a:graphic>
                </wp:inline>
              </w:drawing>
            </w:r>
          </w:p>
          <w:p w14:paraId="16318214">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宋体"/>
                <w:b/>
                <w:bCs/>
                <w:caps w:val="0"/>
                <w:sz w:val="24"/>
                <w:highlight w:val="none"/>
                <w:lang w:val="en-US" w:eastAsia="zh-CN"/>
              </w:rPr>
            </w:pPr>
            <w:r>
              <w:rPr>
                <w:rFonts w:hint="eastAsia" w:ascii="Times New Roman" w:hAnsi="Times New Roman" w:eastAsia="宋体" w:cs="宋体"/>
                <w:b/>
                <w:bCs/>
                <w:caps w:val="0"/>
                <w:sz w:val="24"/>
                <w:highlight w:val="none"/>
                <w:lang w:val="en-US" w:eastAsia="zh-CN"/>
              </w:rPr>
              <w:t>图2-3 无组织监测点位图</w:t>
            </w:r>
          </w:p>
          <w:p w14:paraId="286A632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宋体"/>
                <w:caps w:val="0"/>
                <w:spacing w:val="0"/>
                <w:kern w:val="0"/>
                <w:sz w:val="24"/>
                <w:highlight w:val="none"/>
                <w:lang w:val="en-US" w:eastAsia="zh-CN"/>
              </w:rPr>
            </w:pPr>
            <w:r>
              <w:rPr>
                <w:rFonts w:hint="eastAsia" w:ascii="Times New Roman" w:hAnsi="Times New Roman" w:eastAsia="宋体" w:cs="宋体"/>
                <w:b w:val="0"/>
                <w:bCs w:val="0"/>
                <w:caps w:val="0"/>
                <w:sz w:val="24"/>
                <w:highlight w:val="none"/>
                <w:lang w:val="en-US" w:eastAsia="zh-CN"/>
              </w:rPr>
              <w:t>根据监测结果，</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b w:val="0"/>
                <w:bCs w:val="0"/>
                <w:caps w:val="0"/>
                <w:sz w:val="24"/>
                <w:highlight w:val="none"/>
                <w:lang w:val="en-US" w:eastAsia="zh-CN"/>
              </w:rPr>
              <w:t>废气满足《锅炉大气污染物排放标准》（GB13271-2014）表2燃煤锅炉排放限值；筛分废气满足</w:t>
            </w:r>
            <w:r>
              <w:rPr>
                <w:rFonts w:hint="eastAsia" w:ascii="Times New Roman" w:hAnsi="Times New Roman" w:eastAsia="宋体" w:cs="宋体"/>
                <w:caps w:val="0"/>
                <w:spacing w:val="0"/>
                <w:kern w:val="0"/>
                <w:sz w:val="24"/>
                <w:highlight w:val="none"/>
                <w:lang w:val="en-US" w:eastAsia="zh-CN"/>
              </w:rPr>
              <w:t>《大气污染物综合排放标准》（GB16297-1996）二级排放限值；无组织废气满足《大气污染物综合排放标准》（GB16297-1996）无组织排放限值。</w:t>
            </w:r>
          </w:p>
          <w:p w14:paraId="23BD9B4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宋体"/>
                <w:caps w:val="0"/>
                <w:spacing w:val="0"/>
                <w:kern w:val="0"/>
                <w:sz w:val="24"/>
                <w:highlight w:val="none"/>
                <w:lang w:val="en-US" w:eastAsia="zh-CN"/>
              </w:rPr>
            </w:pPr>
            <w:r>
              <w:rPr>
                <w:rFonts w:hint="eastAsia" w:ascii="Times New Roman" w:hAnsi="Times New Roman" w:eastAsia="宋体" w:cs="宋体"/>
                <w:caps w:val="0"/>
                <w:spacing w:val="0"/>
                <w:kern w:val="0"/>
                <w:sz w:val="24"/>
                <w:highlight w:val="none"/>
                <w:lang w:val="en-US" w:eastAsia="zh-CN"/>
              </w:rPr>
              <w:t>（2）噪声</w:t>
            </w:r>
          </w:p>
          <w:p w14:paraId="3A379ABF">
            <w:pPr>
              <w:pStyle w:val="2"/>
              <w:keepNext w:val="0"/>
              <w:keepLines w:val="0"/>
              <w:pageBreakBefore w:val="0"/>
              <w:widowControl w:val="0"/>
              <w:kinsoku/>
              <w:wordWrap/>
              <w:overflowPunct/>
              <w:topLinePunct w:val="0"/>
              <w:autoSpaceDE/>
              <w:autoSpaceDN/>
              <w:bidi w:val="0"/>
              <w:adjustRightInd w:val="0"/>
              <w:snapToGrid w:val="0"/>
              <w:spacing w:after="0"/>
              <w:ind w:left="0" w:leftChars="0"/>
              <w:textAlignment w:val="auto"/>
              <w:rPr>
                <w:rFonts w:hint="default" w:ascii="Times New Roman" w:hAnsi="Times New Roman" w:eastAsia="宋体" w:cs="宋体"/>
                <w:caps w:val="0"/>
                <w:highlight w:val="none"/>
                <w:lang w:val="en-US" w:eastAsia="zh-CN"/>
              </w:rPr>
            </w:pPr>
            <w:r>
              <w:rPr>
                <w:rFonts w:hint="eastAsia" w:ascii="Times New Roman" w:hAnsi="Times New Roman" w:eastAsia="宋体" w:cs="宋体"/>
                <w:caps w:val="0"/>
                <w:highlight w:val="none"/>
                <w:lang w:val="en-US" w:eastAsia="zh-CN"/>
              </w:rPr>
              <w:t>根据2025年11月18日-19日由黑龙江汉风环境检测技术有限公司对本项目开展现状监测，监测结果如下：</w:t>
            </w:r>
          </w:p>
          <w:p w14:paraId="199229D3">
            <w:pPr>
              <w:keepNext w:val="0"/>
              <w:keepLines w:val="0"/>
              <w:pageBreakBefore w:val="0"/>
              <w:widowControl w:val="0"/>
              <w:kinsoku/>
              <w:wordWrap/>
              <w:overflowPunct/>
              <w:topLinePunct w:val="0"/>
              <w:autoSpaceDE/>
              <w:autoSpaceDN/>
              <w:bidi w:val="0"/>
              <w:adjustRightInd w:val="0"/>
              <w:snapToGrid w:val="0"/>
              <w:spacing w:before="120" w:beforeLines="50" w:line="240" w:lineRule="auto"/>
              <w:ind w:left="0" w:leftChars="0" w:firstLine="0" w:firstLineChars="0"/>
              <w:jc w:val="center"/>
              <w:textAlignment w:val="auto"/>
              <w:rPr>
                <w:rFonts w:hint="default" w:ascii="Times New Roman" w:hAnsi="Times New Roman" w:eastAsia="宋体" w:cs="宋体"/>
                <w:b/>
                <w:bCs w:val="0"/>
                <w:caps w:val="0"/>
                <w:spacing w:val="0"/>
                <w:kern w:val="0"/>
                <w:sz w:val="21"/>
                <w:szCs w:val="21"/>
                <w:highlight w:val="none"/>
                <w:lang w:val="en-US" w:eastAsia="zh-CN"/>
              </w:rPr>
            </w:pPr>
            <w:r>
              <w:rPr>
                <w:rFonts w:hint="eastAsia" w:ascii="Times New Roman" w:hAnsi="Times New Roman" w:eastAsia="宋体" w:cs="宋体"/>
                <w:b/>
                <w:bCs w:val="0"/>
                <w:caps w:val="0"/>
                <w:spacing w:val="0"/>
                <w:kern w:val="0"/>
                <w:sz w:val="21"/>
                <w:szCs w:val="21"/>
                <w:highlight w:val="none"/>
                <w:lang w:val="en-US" w:eastAsia="zh-CN"/>
              </w:rPr>
              <w:t>表2-</w:t>
            </w:r>
            <w:r>
              <w:rPr>
                <w:rFonts w:hint="eastAsia" w:ascii="Times New Roman" w:hAnsi="Times New Roman" w:cs="宋体"/>
                <w:b/>
                <w:bCs w:val="0"/>
                <w:caps w:val="0"/>
                <w:spacing w:val="0"/>
                <w:kern w:val="0"/>
                <w:sz w:val="21"/>
                <w:szCs w:val="21"/>
                <w:highlight w:val="none"/>
                <w:lang w:val="en-US" w:eastAsia="zh-CN"/>
              </w:rPr>
              <w:t>8</w:t>
            </w:r>
            <w:r>
              <w:rPr>
                <w:rFonts w:hint="eastAsia" w:ascii="Times New Roman" w:hAnsi="Times New Roman" w:eastAsia="宋体" w:cs="宋体"/>
                <w:b/>
                <w:bCs w:val="0"/>
                <w:caps w:val="0"/>
                <w:spacing w:val="0"/>
                <w:kern w:val="0"/>
                <w:sz w:val="21"/>
                <w:szCs w:val="21"/>
                <w:highlight w:val="none"/>
                <w:lang w:val="en-US" w:eastAsia="zh-CN"/>
              </w:rPr>
              <w:t xml:space="preserve"> 噪声监测结果</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3"/>
              <w:gridCol w:w="1805"/>
              <w:gridCol w:w="1271"/>
              <w:gridCol w:w="1271"/>
              <w:gridCol w:w="1271"/>
              <w:gridCol w:w="1271"/>
            </w:tblGrid>
            <w:tr w14:paraId="30CDFC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014" w:type="dxa"/>
                  <w:vMerge w:val="restart"/>
                  <w:tcBorders>
                    <w:tl2br w:val="nil"/>
                    <w:tr2bl w:val="nil"/>
                  </w:tcBorders>
                  <w:noWrap w:val="0"/>
                  <w:vAlign w:val="center"/>
                </w:tcPr>
                <w:p w14:paraId="3AE7B4CB">
                  <w:pPr>
                    <w:keepNext w:val="0"/>
                    <w:keepLines w:val="0"/>
                    <w:pageBreakBefore w:val="0"/>
                    <w:kinsoku/>
                    <w:wordWrap/>
                    <w:overflowPunct/>
                    <w:topLinePunct w:val="0"/>
                    <w:bidi w:val="0"/>
                    <w:adjustRightInd w:val="0"/>
                    <w:snapToGrid w:val="0"/>
                    <w:spacing w:line="240" w:lineRule="auto"/>
                    <w:ind w:right="0" w:rightChars="0" w:firstLine="0" w:firstLineChars="0"/>
                    <w:jc w:val="center"/>
                    <w:rPr>
                      <w:rFonts w:hint="default" w:ascii="Times New Roman" w:hAnsi="Times New Roman" w:eastAsia="宋体" w:cs="宋体"/>
                      <w:caps w:val="0"/>
                      <w:color w:val="000000"/>
                      <w:kern w:val="2"/>
                      <w:sz w:val="21"/>
                      <w:szCs w:val="21"/>
                      <w:highlight w:val="none"/>
                      <w:lang w:val="en-US" w:eastAsia="zh-CN" w:bidi="ar-SA"/>
                    </w:rPr>
                  </w:pPr>
                  <w:r>
                    <w:rPr>
                      <w:rFonts w:hint="default" w:ascii="Times New Roman" w:hAnsi="Times New Roman" w:eastAsia="宋体" w:cs="宋体"/>
                      <w:caps w:val="0"/>
                      <w:color w:val="000000"/>
                      <w:sz w:val="21"/>
                      <w:szCs w:val="21"/>
                      <w:highlight w:val="none"/>
                    </w:rPr>
                    <w:t>序号</w:t>
                  </w:r>
                </w:p>
              </w:tc>
              <w:tc>
                <w:tcPr>
                  <w:tcW w:w="2117" w:type="dxa"/>
                  <w:vMerge w:val="restart"/>
                  <w:tcBorders>
                    <w:tl2br w:val="nil"/>
                    <w:tr2bl w:val="nil"/>
                  </w:tcBorders>
                  <w:noWrap w:val="0"/>
                  <w:vAlign w:val="center"/>
                </w:tcPr>
                <w:p w14:paraId="0BA190FC">
                  <w:pPr>
                    <w:keepNext w:val="0"/>
                    <w:keepLines w:val="0"/>
                    <w:pageBreakBefore w:val="0"/>
                    <w:kinsoku/>
                    <w:wordWrap/>
                    <w:overflowPunct/>
                    <w:topLinePunct w:val="0"/>
                    <w:bidi w:val="0"/>
                    <w:adjustRightInd w:val="0"/>
                    <w:snapToGrid w:val="0"/>
                    <w:spacing w:line="240" w:lineRule="auto"/>
                    <w:ind w:right="0" w:rightChars="0" w:firstLine="0" w:firstLineChars="0"/>
                    <w:jc w:val="center"/>
                    <w:rPr>
                      <w:rFonts w:hint="default" w:ascii="Times New Roman" w:hAnsi="Times New Roman" w:eastAsia="宋体" w:cs="宋体"/>
                      <w:caps w:val="0"/>
                      <w:color w:val="000000"/>
                      <w:kern w:val="2"/>
                      <w:sz w:val="21"/>
                      <w:szCs w:val="21"/>
                      <w:highlight w:val="none"/>
                      <w:lang w:val="en-US" w:eastAsia="zh-CN" w:bidi="ar-SA"/>
                    </w:rPr>
                  </w:pPr>
                  <w:r>
                    <w:rPr>
                      <w:rFonts w:hint="default" w:ascii="Times New Roman" w:hAnsi="Times New Roman" w:eastAsia="宋体" w:cs="宋体"/>
                      <w:caps w:val="0"/>
                      <w:color w:val="000000"/>
                      <w:sz w:val="21"/>
                      <w:szCs w:val="21"/>
                      <w:highlight w:val="none"/>
                      <w:lang w:eastAsia="zh-CN"/>
                    </w:rPr>
                    <w:t>采样点位</w:t>
                  </w:r>
                </w:p>
              </w:tc>
              <w:tc>
                <w:tcPr>
                  <w:tcW w:w="2952" w:type="dxa"/>
                  <w:gridSpan w:val="2"/>
                  <w:tcBorders>
                    <w:tl2br w:val="nil"/>
                    <w:tr2bl w:val="nil"/>
                  </w:tcBorders>
                  <w:noWrap w:val="0"/>
                  <w:vAlign w:val="center"/>
                </w:tcPr>
                <w:p w14:paraId="2EA25BF8">
                  <w:pPr>
                    <w:pStyle w:val="93"/>
                    <w:keepNext w:val="0"/>
                    <w:keepLines w:val="0"/>
                    <w:pageBreakBefore w:val="0"/>
                    <w:kinsoku/>
                    <w:wordWrap/>
                    <w:overflowPunct/>
                    <w:topLinePunct w:val="0"/>
                    <w:bidi w:val="0"/>
                    <w:adjustRightInd w:val="0"/>
                    <w:snapToGrid w:val="0"/>
                    <w:spacing w:line="240" w:lineRule="auto"/>
                    <w:ind w:right="0" w:rightChars="0" w:firstLine="0" w:firstLineChars="0"/>
                    <w:jc w:val="center"/>
                    <w:rPr>
                      <w:rFonts w:hint="default" w:ascii="Times New Roman" w:hAnsi="Times New Roman" w:eastAsia="宋体" w:cs="宋体"/>
                      <w:caps w:val="0"/>
                      <w:color w:val="auto"/>
                      <w:sz w:val="21"/>
                      <w:szCs w:val="21"/>
                      <w:highlight w:val="none"/>
                    </w:rPr>
                  </w:pPr>
                  <w:r>
                    <w:rPr>
                      <w:rFonts w:hint="default" w:ascii="Times New Roman" w:hAnsi="Times New Roman" w:eastAsia="宋体" w:cs="宋体"/>
                      <w:caps w:val="0"/>
                      <w:color w:val="auto"/>
                      <w:sz w:val="21"/>
                      <w:szCs w:val="21"/>
                      <w:highlight w:val="none"/>
                    </w:rPr>
                    <w:t>检测结果</w:t>
                  </w:r>
                  <w:r>
                    <w:rPr>
                      <w:rFonts w:hint="default" w:ascii="Times New Roman" w:hAnsi="Times New Roman" w:eastAsia="宋体" w:cs="宋体"/>
                      <w:i w:val="0"/>
                      <w:iCs w:val="0"/>
                      <w:caps w:val="0"/>
                      <w:color w:val="000000"/>
                      <w:kern w:val="0"/>
                      <w:sz w:val="21"/>
                      <w:szCs w:val="21"/>
                      <w:highlight w:val="none"/>
                      <w:u w:val="none"/>
                      <w:lang w:val="en-US" w:eastAsia="zh-CN" w:bidi="ar"/>
                    </w:rPr>
                    <w:t>2025</w:t>
                  </w:r>
                  <w:r>
                    <w:rPr>
                      <w:rFonts w:hint="eastAsia" w:ascii="Times New Roman" w:hAnsi="Times New Roman" w:eastAsia="宋体" w:cs="宋体"/>
                      <w:i w:val="0"/>
                      <w:iCs w:val="0"/>
                      <w:caps w:val="0"/>
                      <w:color w:val="000000"/>
                      <w:kern w:val="0"/>
                      <w:sz w:val="21"/>
                      <w:szCs w:val="21"/>
                      <w:highlight w:val="none"/>
                      <w:u w:val="none"/>
                      <w:lang w:val="en-US" w:eastAsia="zh-CN" w:bidi="ar"/>
                    </w:rPr>
                    <w:t>.11.18</w:t>
                  </w:r>
                </w:p>
              </w:tc>
              <w:tc>
                <w:tcPr>
                  <w:tcW w:w="2952" w:type="dxa"/>
                  <w:gridSpan w:val="2"/>
                  <w:tcBorders>
                    <w:tl2br w:val="nil"/>
                    <w:tr2bl w:val="nil"/>
                  </w:tcBorders>
                  <w:noWrap w:val="0"/>
                  <w:vAlign w:val="center"/>
                </w:tcPr>
                <w:p w14:paraId="52292094">
                  <w:pPr>
                    <w:pStyle w:val="93"/>
                    <w:keepNext w:val="0"/>
                    <w:keepLines w:val="0"/>
                    <w:pageBreakBefore w:val="0"/>
                    <w:kinsoku/>
                    <w:wordWrap/>
                    <w:overflowPunct/>
                    <w:topLinePunct w:val="0"/>
                    <w:bidi w:val="0"/>
                    <w:adjustRightInd w:val="0"/>
                    <w:snapToGrid w:val="0"/>
                    <w:spacing w:line="240" w:lineRule="auto"/>
                    <w:ind w:right="0" w:rightChars="0" w:firstLine="0" w:firstLineChars="0"/>
                    <w:jc w:val="center"/>
                    <w:rPr>
                      <w:rFonts w:hint="default" w:ascii="Times New Roman" w:hAnsi="Times New Roman" w:eastAsia="宋体" w:cs="宋体"/>
                      <w:caps w:val="0"/>
                      <w:color w:val="auto"/>
                      <w:sz w:val="21"/>
                      <w:szCs w:val="21"/>
                      <w:highlight w:val="none"/>
                      <w:lang w:val="en-US"/>
                    </w:rPr>
                  </w:pPr>
                  <w:r>
                    <w:rPr>
                      <w:rFonts w:hint="default" w:ascii="Times New Roman" w:hAnsi="Times New Roman" w:eastAsia="宋体" w:cs="宋体"/>
                      <w:caps w:val="0"/>
                      <w:color w:val="auto"/>
                      <w:sz w:val="21"/>
                      <w:szCs w:val="21"/>
                      <w:highlight w:val="none"/>
                    </w:rPr>
                    <w:t>检测结果</w:t>
                  </w:r>
                  <w:r>
                    <w:rPr>
                      <w:rFonts w:hint="default" w:ascii="Times New Roman" w:hAnsi="Times New Roman" w:eastAsia="宋体" w:cs="宋体"/>
                      <w:i w:val="0"/>
                      <w:iCs w:val="0"/>
                      <w:caps w:val="0"/>
                      <w:color w:val="000000"/>
                      <w:kern w:val="0"/>
                      <w:sz w:val="21"/>
                      <w:szCs w:val="21"/>
                      <w:highlight w:val="none"/>
                      <w:u w:val="none"/>
                      <w:lang w:val="en-US" w:eastAsia="zh-CN" w:bidi="ar"/>
                    </w:rPr>
                    <w:t>2025</w:t>
                  </w:r>
                  <w:r>
                    <w:rPr>
                      <w:rFonts w:hint="eastAsia" w:ascii="Times New Roman" w:hAnsi="Times New Roman" w:eastAsia="宋体" w:cs="宋体"/>
                      <w:i w:val="0"/>
                      <w:iCs w:val="0"/>
                      <w:caps w:val="0"/>
                      <w:color w:val="000000"/>
                      <w:kern w:val="0"/>
                      <w:sz w:val="21"/>
                      <w:szCs w:val="21"/>
                      <w:highlight w:val="none"/>
                      <w:u w:val="none"/>
                      <w:lang w:val="en-US" w:eastAsia="zh-CN" w:bidi="ar"/>
                    </w:rPr>
                    <w:t>.11.19</w:t>
                  </w:r>
                </w:p>
              </w:tc>
            </w:tr>
            <w:tr w14:paraId="5220BD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014" w:type="dxa"/>
                  <w:vMerge w:val="continue"/>
                  <w:tcBorders>
                    <w:tl2br w:val="nil"/>
                    <w:tr2bl w:val="nil"/>
                  </w:tcBorders>
                  <w:noWrap w:val="0"/>
                  <w:vAlign w:val="center"/>
                </w:tcPr>
                <w:p w14:paraId="41A88A04">
                  <w:pPr>
                    <w:keepNext w:val="0"/>
                    <w:keepLines w:val="0"/>
                    <w:pageBreakBefore w:val="0"/>
                    <w:kinsoku/>
                    <w:wordWrap/>
                    <w:overflowPunct/>
                    <w:topLinePunct w:val="0"/>
                    <w:bidi w:val="0"/>
                    <w:adjustRightInd w:val="0"/>
                    <w:snapToGrid w:val="0"/>
                    <w:spacing w:line="240" w:lineRule="auto"/>
                    <w:ind w:right="0" w:rightChars="0" w:firstLine="0" w:firstLineChars="0"/>
                    <w:jc w:val="center"/>
                    <w:rPr>
                      <w:rFonts w:hint="default" w:ascii="Times New Roman" w:hAnsi="Times New Roman" w:eastAsia="宋体" w:cs="宋体"/>
                      <w:caps w:val="0"/>
                      <w:color w:val="000000"/>
                      <w:sz w:val="21"/>
                      <w:szCs w:val="21"/>
                      <w:highlight w:val="none"/>
                    </w:rPr>
                  </w:pPr>
                </w:p>
              </w:tc>
              <w:tc>
                <w:tcPr>
                  <w:tcW w:w="2117" w:type="dxa"/>
                  <w:vMerge w:val="continue"/>
                  <w:tcBorders>
                    <w:tl2br w:val="nil"/>
                    <w:tr2bl w:val="nil"/>
                  </w:tcBorders>
                  <w:noWrap w:val="0"/>
                  <w:vAlign w:val="center"/>
                </w:tcPr>
                <w:p w14:paraId="788CBD25">
                  <w:pPr>
                    <w:keepNext w:val="0"/>
                    <w:keepLines w:val="0"/>
                    <w:pageBreakBefore w:val="0"/>
                    <w:kinsoku/>
                    <w:wordWrap/>
                    <w:overflowPunct/>
                    <w:topLinePunct w:val="0"/>
                    <w:bidi w:val="0"/>
                    <w:adjustRightInd w:val="0"/>
                    <w:snapToGrid w:val="0"/>
                    <w:spacing w:line="240" w:lineRule="auto"/>
                    <w:ind w:right="0" w:rightChars="0" w:firstLine="0" w:firstLineChars="0"/>
                    <w:jc w:val="center"/>
                    <w:rPr>
                      <w:rFonts w:hint="default" w:ascii="Times New Roman" w:hAnsi="Times New Roman" w:eastAsia="宋体" w:cs="宋体"/>
                      <w:caps w:val="0"/>
                      <w:color w:val="000000"/>
                      <w:sz w:val="21"/>
                      <w:szCs w:val="21"/>
                      <w:highlight w:val="none"/>
                      <w:lang w:eastAsia="zh-CN"/>
                    </w:rPr>
                  </w:pPr>
                </w:p>
              </w:tc>
              <w:tc>
                <w:tcPr>
                  <w:tcW w:w="1476" w:type="dxa"/>
                  <w:tcBorders>
                    <w:tl2br w:val="nil"/>
                    <w:tr2bl w:val="nil"/>
                  </w:tcBorders>
                  <w:noWrap w:val="0"/>
                  <w:vAlign w:val="center"/>
                </w:tcPr>
                <w:p w14:paraId="1F3A5F92">
                  <w:pPr>
                    <w:keepNext w:val="0"/>
                    <w:keepLines w:val="0"/>
                    <w:pageBreakBefore w:val="0"/>
                    <w:kinsoku/>
                    <w:wordWrap/>
                    <w:overflowPunct/>
                    <w:topLinePunct w:val="0"/>
                    <w:bidi w:val="0"/>
                    <w:adjustRightInd w:val="0"/>
                    <w:snapToGrid w:val="0"/>
                    <w:spacing w:line="240" w:lineRule="auto"/>
                    <w:ind w:right="0" w:rightChars="0" w:firstLine="0" w:firstLineChars="0"/>
                    <w:jc w:val="center"/>
                    <w:rPr>
                      <w:rFonts w:hint="eastAsia" w:ascii="Times New Roman" w:hAnsi="Times New Roman" w:eastAsia="宋体" w:cs="宋体"/>
                      <w:caps w:val="0"/>
                      <w:kern w:val="2"/>
                      <w:sz w:val="21"/>
                      <w:szCs w:val="21"/>
                      <w:highlight w:val="none"/>
                      <w:lang w:val="en-US" w:eastAsia="zh-CN" w:bidi="ar-SA"/>
                    </w:rPr>
                  </w:pPr>
                  <w:r>
                    <w:rPr>
                      <w:rFonts w:hint="default" w:ascii="Times New Roman" w:hAnsi="Times New Roman" w:eastAsia="宋体" w:cs="宋体"/>
                      <w:caps w:val="0"/>
                      <w:kern w:val="2"/>
                      <w:sz w:val="21"/>
                      <w:szCs w:val="21"/>
                      <w:highlight w:val="none"/>
                      <w:lang w:val="en-US" w:eastAsia="zh-CN" w:bidi="ar-SA"/>
                    </w:rPr>
                    <w:t>昼间</w:t>
                  </w:r>
                  <w:r>
                    <w:rPr>
                      <w:rFonts w:hint="eastAsia" w:ascii="Times New Roman" w:hAnsi="Times New Roman" w:eastAsia="宋体" w:cs="宋体"/>
                      <w:caps w:val="0"/>
                      <w:kern w:val="2"/>
                      <w:sz w:val="21"/>
                      <w:szCs w:val="21"/>
                      <w:highlight w:val="none"/>
                      <w:lang w:val="en-US" w:eastAsia="zh-CN" w:bidi="ar-SA"/>
                    </w:rPr>
                    <w:t>（</w:t>
                  </w:r>
                  <w:r>
                    <w:rPr>
                      <w:rFonts w:hint="default" w:ascii="Times New Roman" w:hAnsi="Times New Roman" w:eastAsia="宋体" w:cs="宋体"/>
                      <w:caps w:val="0"/>
                      <w:sz w:val="21"/>
                      <w:szCs w:val="21"/>
                      <w:highlight w:val="none"/>
                    </w:rPr>
                    <w:t>dB（A）</w:t>
                  </w:r>
                  <w:r>
                    <w:rPr>
                      <w:rFonts w:hint="eastAsia" w:ascii="Times New Roman" w:hAnsi="Times New Roman" w:eastAsia="宋体" w:cs="宋体"/>
                      <w:caps w:val="0"/>
                      <w:sz w:val="21"/>
                      <w:szCs w:val="21"/>
                      <w:highlight w:val="none"/>
                      <w:lang w:eastAsia="zh-CN"/>
                    </w:rPr>
                    <w:t>）</w:t>
                  </w:r>
                </w:p>
              </w:tc>
              <w:tc>
                <w:tcPr>
                  <w:tcW w:w="1476" w:type="dxa"/>
                  <w:tcBorders>
                    <w:tl2br w:val="nil"/>
                    <w:tr2bl w:val="nil"/>
                  </w:tcBorders>
                  <w:noWrap w:val="0"/>
                  <w:vAlign w:val="center"/>
                </w:tcPr>
                <w:p w14:paraId="5D1A5D75">
                  <w:pPr>
                    <w:keepNext w:val="0"/>
                    <w:keepLines w:val="0"/>
                    <w:pageBreakBefore w:val="0"/>
                    <w:kinsoku/>
                    <w:wordWrap/>
                    <w:overflowPunct/>
                    <w:topLinePunct w:val="0"/>
                    <w:bidi w:val="0"/>
                    <w:adjustRightInd w:val="0"/>
                    <w:snapToGrid w:val="0"/>
                    <w:spacing w:line="240" w:lineRule="auto"/>
                    <w:ind w:right="0" w:rightChars="0" w:firstLine="0" w:firstLineChars="0"/>
                    <w:jc w:val="center"/>
                    <w:rPr>
                      <w:rFonts w:hint="default" w:ascii="Times New Roman" w:hAnsi="Times New Roman" w:eastAsia="宋体" w:cs="宋体"/>
                      <w:caps w:val="0"/>
                      <w:sz w:val="21"/>
                      <w:szCs w:val="21"/>
                      <w:highlight w:val="none"/>
                    </w:rPr>
                  </w:pPr>
                  <w:r>
                    <w:rPr>
                      <w:rFonts w:hint="default" w:ascii="Times New Roman" w:hAnsi="Times New Roman" w:eastAsia="宋体" w:cs="宋体"/>
                      <w:caps w:val="0"/>
                      <w:sz w:val="21"/>
                      <w:szCs w:val="21"/>
                      <w:highlight w:val="none"/>
                    </w:rPr>
                    <w:t>夜间</w:t>
                  </w:r>
                  <w:r>
                    <w:rPr>
                      <w:rFonts w:hint="eastAsia" w:ascii="Times New Roman" w:hAnsi="Times New Roman" w:eastAsia="宋体" w:cs="宋体"/>
                      <w:caps w:val="0"/>
                      <w:kern w:val="2"/>
                      <w:sz w:val="21"/>
                      <w:szCs w:val="21"/>
                      <w:highlight w:val="none"/>
                      <w:lang w:val="en-US" w:eastAsia="zh-CN" w:bidi="ar-SA"/>
                    </w:rPr>
                    <w:t>（</w:t>
                  </w:r>
                  <w:r>
                    <w:rPr>
                      <w:rFonts w:hint="default" w:ascii="Times New Roman" w:hAnsi="Times New Roman" w:eastAsia="宋体" w:cs="宋体"/>
                      <w:caps w:val="0"/>
                      <w:sz w:val="21"/>
                      <w:szCs w:val="21"/>
                      <w:highlight w:val="none"/>
                    </w:rPr>
                    <w:t>dB（A）</w:t>
                  </w:r>
                  <w:r>
                    <w:rPr>
                      <w:rFonts w:hint="eastAsia" w:ascii="Times New Roman" w:hAnsi="Times New Roman" w:eastAsia="宋体" w:cs="宋体"/>
                      <w:caps w:val="0"/>
                      <w:sz w:val="21"/>
                      <w:szCs w:val="21"/>
                      <w:highlight w:val="none"/>
                      <w:lang w:eastAsia="zh-CN"/>
                    </w:rPr>
                    <w:t>）</w:t>
                  </w:r>
                </w:p>
              </w:tc>
              <w:tc>
                <w:tcPr>
                  <w:tcW w:w="1476" w:type="dxa"/>
                  <w:tcBorders>
                    <w:tl2br w:val="nil"/>
                    <w:tr2bl w:val="nil"/>
                  </w:tcBorders>
                  <w:noWrap w:val="0"/>
                  <w:vAlign w:val="center"/>
                </w:tcPr>
                <w:p w14:paraId="2BC07CEC">
                  <w:pPr>
                    <w:keepNext w:val="0"/>
                    <w:keepLines w:val="0"/>
                    <w:pageBreakBefore w:val="0"/>
                    <w:kinsoku/>
                    <w:wordWrap/>
                    <w:overflowPunct/>
                    <w:topLinePunct w:val="0"/>
                    <w:bidi w:val="0"/>
                    <w:adjustRightInd w:val="0"/>
                    <w:snapToGrid w:val="0"/>
                    <w:spacing w:line="240" w:lineRule="auto"/>
                    <w:ind w:right="0" w:rightChars="0" w:firstLine="0" w:firstLineChars="0"/>
                    <w:jc w:val="center"/>
                    <w:rPr>
                      <w:rFonts w:hint="default" w:ascii="Times New Roman" w:hAnsi="Times New Roman" w:eastAsia="宋体" w:cs="宋体"/>
                      <w:caps w:val="0"/>
                      <w:kern w:val="2"/>
                      <w:sz w:val="21"/>
                      <w:szCs w:val="21"/>
                      <w:highlight w:val="none"/>
                      <w:lang w:val="en-US" w:eastAsia="zh-CN" w:bidi="ar-SA"/>
                    </w:rPr>
                  </w:pPr>
                  <w:r>
                    <w:rPr>
                      <w:rFonts w:hint="default" w:ascii="Times New Roman" w:hAnsi="Times New Roman" w:eastAsia="宋体" w:cs="宋体"/>
                      <w:caps w:val="0"/>
                      <w:kern w:val="2"/>
                      <w:sz w:val="21"/>
                      <w:szCs w:val="21"/>
                      <w:highlight w:val="none"/>
                      <w:lang w:val="en-US" w:eastAsia="zh-CN" w:bidi="ar-SA"/>
                    </w:rPr>
                    <w:t>昼间</w:t>
                  </w:r>
                  <w:r>
                    <w:rPr>
                      <w:rFonts w:hint="eastAsia" w:ascii="Times New Roman" w:hAnsi="Times New Roman" w:eastAsia="宋体" w:cs="宋体"/>
                      <w:caps w:val="0"/>
                      <w:kern w:val="2"/>
                      <w:sz w:val="21"/>
                      <w:szCs w:val="21"/>
                      <w:highlight w:val="none"/>
                      <w:lang w:val="en-US" w:eastAsia="zh-CN" w:bidi="ar-SA"/>
                    </w:rPr>
                    <w:t>（</w:t>
                  </w:r>
                  <w:r>
                    <w:rPr>
                      <w:rFonts w:hint="default" w:ascii="Times New Roman" w:hAnsi="Times New Roman" w:eastAsia="宋体" w:cs="宋体"/>
                      <w:caps w:val="0"/>
                      <w:sz w:val="21"/>
                      <w:szCs w:val="21"/>
                      <w:highlight w:val="none"/>
                    </w:rPr>
                    <w:t>dB（A）</w:t>
                  </w:r>
                  <w:r>
                    <w:rPr>
                      <w:rFonts w:hint="eastAsia" w:ascii="Times New Roman" w:hAnsi="Times New Roman" w:eastAsia="宋体" w:cs="宋体"/>
                      <w:caps w:val="0"/>
                      <w:sz w:val="21"/>
                      <w:szCs w:val="21"/>
                      <w:highlight w:val="none"/>
                      <w:lang w:eastAsia="zh-CN"/>
                    </w:rPr>
                    <w:t>）</w:t>
                  </w:r>
                </w:p>
              </w:tc>
              <w:tc>
                <w:tcPr>
                  <w:tcW w:w="1476" w:type="dxa"/>
                  <w:tcBorders>
                    <w:tl2br w:val="nil"/>
                    <w:tr2bl w:val="nil"/>
                  </w:tcBorders>
                  <w:noWrap w:val="0"/>
                  <w:vAlign w:val="center"/>
                </w:tcPr>
                <w:p w14:paraId="63003F5E">
                  <w:pPr>
                    <w:keepNext w:val="0"/>
                    <w:keepLines w:val="0"/>
                    <w:pageBreakBefore w:val="0"/>
                    <w:kinsoku/>
                    <w:wordWrap/>
                    <w:overflowPunct/>
                    <w:topLinePunct w:val="0"/>
                    <w:bidi w:val="0"/>
                    <w:adjustRightInd w:val="0"/>
                    <w:snapToGrid w:val="0"/>
                    <w:spacing w:line="240" w:lineRule="auto"/>
                    <w:ind w:right="0" w:rightChars="0" w:firstLine="0" w:firstLineChars="0"/>
                    <w:jc w:val="center"/>
                    <w:rPr>
                      <w:rFonts w:hint="default" w:ascii="Times New Roman" w:hAnsi="Times New Roman" w:eastAsia="宋体" w:cs="宋体"/>
                      <w:caps w:val="0"/>
                      <w:kern w:val="2"/>
                      <w:sz w:val="21"/>
                      <w:szCs w:val="21"/>
                      <w:highlight w:val="none"/>
                      <w:lang w:val="en-US" w:eastAsia="zh-CN" w:bidi="ar-SA"/>
                    </w:rPr>
                  </w:pPr>
                  <w:r>
                    <w:rPr>
                      <w:rFonts w:hint="default" w:ascii="Times New Roman" w:hAnsi="Times New Roman" w:eastAsia="宋体" w:cs="宋体"/>
                      <w:caps w:val="0"/>
                      <w:sz w:val="21"/>
                      <w:szCs w:val="21"/>
                      <w:highlight w:val="none"/>
                    </w:rPr>
                    <w:t>夜间</w:t>
                  </w:r>
                  <w:r>
                    <w:rPr>
                      <w:rFonts w:hint="eastAsia" w:ascii="Times New Roman" w:hAnsi="Times New Roman" w:eastAsia="宋体" w:cs="宋体"/>
                      <w:caps w:val="0"/>
                      <w:kern w:val="2"/>
                      <w:sz w:val="21"/>
                      <w:szCs w:val="21"/>
                      <w:highlight w:val="none"/>
                      <w:lang w:val="en-US" w:eastAsia="zh-CN" w:bidi="ar-SA"/>
                    </w:rPr>
                    <w:t>（</w:t>
                  </w:r>
                  <w:r>
                    <w:rPr>
                      <w:rFonts w:hint="default" w:ascii="Times New Roman" w:hAnsi="Times New Roman" w:eastAsia="宋体" w:cs="宋体"/>
                      <w:caps w:val="0"/>
                      <w:sz w:val="21"/>
                      <w:szCs w:val="21"/>
                      <w:highlight w:val="none"/>
                    </w:rPr>
                    <w:t>dB（A）</w:t>
                  </w:r>
                  <w:r>
                    <w:rPr>
                      <w:rFonts w:hint="eastAsia" w:ascii="Times New Roman" w:hAnsi="Times New Roman" w:eastAsia="宋体" w:cs="宋体"/>
                      <w:caps w:val="0"/>
                      <w:sz w:val="21"/>
                      <w:szCs w:val="21"/>
                      <w:highlight w:val="none"/>
                      <w:lang w:eastAsia="zh-CN"/>
                    </w:rPr>
                    <w:t>）</w:t>
                  </w:r>
                </w:p>
              </w:tc>
            </w:tr>
            <w:tr w14:paraId="7D57E0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4" w:type="dxa"/>
                  <w:tcBorders>
                    <w:tl2br w:val="nil"/>
                    <w:tr2bl w:val="nil"/>
                  </w:tcBorders>
                  <w:noWrap w:val="0"/>
                  <w:vAlign w:val="center"/>
                </w:tcPr>
                <w:p w14:paraId="582C69DF">
                  <w:pPr>
                    <w:pStyle w:val="101"/>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default" w:ascii="Times New Roman" w:hAnsi="Times New Roman" w:eastAsia="宋体" w:cs="宋体"/>
                      <w:caps w:val="0"/>
                      <w:color w:val="auto"/>
                      <w:kern w:val="2"/>
                      <w:sz w:val="21"/>
                      <w:szCs w:val="21"/>
                      <w:highlight w:val="none"/>
                      <w:lang w:val="en-US" w:eastAsia="zh-CN" w:bidi="ar-SA"/>
                    </w:rPr>
                  </w:pPr>
                  <w:r>
                    <w:rPr>
                      <w:rFonts w:hint="eastAsia" w:ascii="Times New Roman" w:hAnsi="Times New Roman" w:eastAsia="宋体" w:cs="宋体"/>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spacing w:val="0"/>
                      <w:sz w:val="21"/>
                      <w:szCs w:val="21"/>
                      <w:highlight w:val="none"/>
                      <w:lang w:val="en-US" w:eastAsia="zh-CN"/>
                    </w:rPr>
                    <w:t>1#</w:t>
                  </w:r>
                </w:p>
              </w:tc>
              <w:tc>
                <w:tcPr>
                  <w:tcW w:w="2117" w:type="dxa"/>
                  <w:tcBorders>
                    <w:tl2br w:val="nil"/>
                    <w:tr2bl w:val="nil"/>
                  </w:tcBorders>
                  <w:noWrap w:val="0"/>
                  <w:vAlign w:val="center"/>
                </w:tcPr>
                <w:p w14:paraId="7D5AD632">
                  <w:pPr>
                    <w:pStyle w:val="101"/>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default" w:ascii="Times New Roman" w:hAnsi="Times New Roman" w:eastAsia="宋体" w:cs="宋体"/>
                      <w:bCs/>
                      <w:caps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厂界东</w:t>
                  </w:r>
                  <w:r>
                    <w:rPr>
                      <w:rFonts w:hint="default" w:ascii="Times New Roman" w:hAnsi="Times New Roman" w:eastAsia="宋体" w:cs="宋体"/>
                      <w:caps w:val="0"/>
                      <w:color w:val="auto"/>
                      <w:spacing w:val="0"/>
                      <w:sz w:val="21"/>
                      <w:szCs w:val="21"/>
                      <w:highlight w:val="none"/>
                    </w:rPr>
                    <w:t>侧外1m</w:t>
                  </w:r>
                </w:p>
              </w:tc>
              <w:tc>
                <w:tcPr>
                  <w:tcW w:w="1476" w:type="dxa"/>
                  <w:tcBorders>
                    <w:tl2br w:val="nil"/>
                    <w:tr2bl w:val="nil"/>
                  </w:tcBorders>
                  <w:noWrap w:val="0"/>
                  <w:vAlign w:val="center"/>
                </w:tcPr>
                <w:p w14:paraId="026867F6">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53</w:t>
                  </w:r>
                </w:p>
              </w:tc>
              <w:tc>
                <w:tcPr>
                  <w:tcW w:w="1476" w:type="dxa"/>
                  <w:tcBorders>
                    <w:tl2br w:val="nil"/>
                    <w:tr2bl w:val="nil"/>
                  </w:tcBorders>
                  <w:noWrap w:val="0"/>
                  <w:vAlign w:val="center"/>
                </w:tcPr>
                <w:p w14:paraId="634E1A3C">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45</w:t>
                  </w:r>
                </w:p>
              </w:tc>
              <w:tc>
                <w:tcPr>
                  <w:tcW w:w="1476" w:type="dxa"/>
                  <w:tcBorders>
                    <w:tl2br w:val="nil"/>
                    <w:tr2bl w:val="nil"/>
                  </w:tcBorders>
                  <w:noWrap w:val="0"/>
                  <w:vAlign w:val="center"/>
                </w:tcPr>
                <w:p w14:paraId="6049F32D">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53</w:t>
                  </w:r>
                </w:p>
              </w:tc>
              <w:tc>
                <w:tcPr>
                  <w:tcW w:w="1476" w:type="dxa"/>
                  <w:tcBorders>
                    <w:tl2br w:val="nil"/>
                    <w:tr2bl w:val="nil"/>
                  </w:tcBorders>
                  <w:noWrap w:val="0"/>
                  <w:vAlign w:val="center"/>
                </w:tcPr>
                <w:p w14:paraId="37273BC7">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45</w:t>
                  </w:r>
                </w:p>
              </w:tc>
            </w:tr>
            <w:tr w14:paraId="5773CC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6BD8B4CB">
                  <w:pPr>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default" w:ascii="Times New Roman" w:hAnsi="Times New Roman" w:eastAsia="宋体" w:cs="宋体"/>
                      <w:caps w:val="0"/>
                      <w:color w:val="auto"/>
                      <w:kern w:val="2"/>
                      <w:sz w:val="21"/>
                      <w:szCs w:val="21"/>
                      <w:highlight w:val="none"/>
                      <w:lang w:val="en-US" w:eastAsia="zh-CN" w:bidi="ar-SA"/>
                    </w:rPr>
                  </w:pPr>
                  <w:r>
                    <w:rPr>
                      <w:rFonts w:hint="eastAsia" w:ascii="Times New Roman" w:hAnsi="Times New Roman" w:eastAsia="宋体" w:cs="宋体"/>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spacing w:val="0"/>
                      <w:sz w:val="21"/>
                      <w:szCs w:val="21"/>
                      <w:highlight w:val="none"/>
                      <w:lang w:val="en-US" w:eastAsia="zh-CN"/>
                    </w:rPr>
                    <w:t>2#</w:t>
                  </w:r>
                </w:p>
              </w:tc>
              <w:tc>
                <w:tcPr>
                  <w:tcW w:w="2117" w:type="dxa"/>
                  <w:tcBorders>
                    <w:tl2br w:val="nil"/>
                    <w:tr2bl w:val="nil"/>
                  </w:tcBorders>
                  <w:noWrap w:val="0"/>
                  <w:vAlign w:val="center"/>
                </w:tcPr>
                <w:p w14:paraId="2748E6DE">
                  <w:pPr>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default" w:ascii="Times New Roman" w:hAnsi="Times New Roman" w:eastAsia="宋体" w:cs="宋体"/>
                      <w:bCs/>
                      <w:caps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厂界南</w:t>
                  </w:r>
                  <w:r>
                    <w:rPr>
                      <w:rFonts w:hint="default" w:ascii="Times New Roman" w:hAnsi="Times New Roman" w:eastAsia="宋体" w:cs="宋体"/>
                      <w:caps w:val="0"/>
                      <w:color w:val="auto"/>
                      <w:spacing w:val="0"/>
                      <w:sz w:val="21"/>
                      <w:szCs w:val="21"/>
                      <w:highlight w:val="none"/>
                    </w:rPr>
                    <w:t>侧外1m</w:t>
                  </w:r>
                </w:p>
              </w:tc>
              <w:tc>
                <w:tcPr>
                  <w:tcW w:w="1476" w:type="dxa"/>
                  <w:tcBorders>
                    <w:tl2br w:val="nil"/>
                    <w:tr2bl w:val="nil"/>
                  </w:tcBorders>
                  <w:noWrap w:val="0"/>
                  <w:vAlign w:val="center"/>
                </w:tcPr>
                <w:p w14:paraId="79864A41">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54</w:t>
                  </w:r>
                </w:p>
              </w:tc>
              <w:tc>
                <w:tcPr>
                  <w:tcW w:w="1476" w:type="dxa"/>
                  <w:tcBorders>
                    <w:tl2br w:val="nil"/>
                    <w:tr2bl w:val="nil"/>
                  </w:tcBorders>
                  <w:noWrap w:val="0"/>
                  <w:vAlign w:val="center"/>
                </w:tcPr>
                <w:p w14:paraId="1E2E44AD">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46</w:t>
                  </w:r>
                </w:p>
              </w:tc>
              <w:tc>
                <w:tcPr>
                  <w:tcW w:w="1476" w:type="dxa"/>
                  <w:tcBorders>
                    <w:tl2br w:val="nil"/>
                    <w:tr2bl w:val="nil"/>
                  </w:tcBorders>
                  <w:noWrap w:val="0"/>
                  <w:vAlign w:val="center"/>
                </w:tcPr>
                <w:p w14:paraId="1C6B7F14">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53</w:t>
                  </w:r>
                </w:p>
              </w:tc>
              <w:tc>
                <w:tcPr>
                  <w:tcW w:w="1476" w:type="dxa"/>
                  <w:tcBorders>
                    <w:tl2br w:val="nil"/>
                    <w:tr2bl w:val="nil"/>
                  </w:tcBorders>
                  <w:noWrap w:val="0"/>
                  <w:vAlign w:val="center"/>
                </w:tcPr>
                <w:p w14:paraId="537CB216">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46</w:t>
                  </w:r>
                </w:p>
              </w:tc>
            </w:tr>
            <w:tr w14:paraId="4CA77D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2EC325D2">
                  <w:pPr>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default" w:ascii="Times New Roman" w:hAnsi="Times New Roman" w:eastAsia="宋体" w:cs="宋体"/>
                      <w:caps w:val="0"/>
                      <w:color w:val="auto"/>
                      <w:kern w:val="2"/>
                      <w:sz w:val="21"/>
                      <w:szCs w:val="21"/>
                      <w:highlight w:val="none"/>
                      <w:lang w:val="en-US" w:eastAsia="zh-CN" w:bidi="ar-SA"/>
                    </w:rPr>
                  </w:pPr>
                  <w:r>
                    <w:rPr>
                      <w:rFonts w:hint="eastAsia" w:ascii="Times New Roman" w:hAnsi="Times New Roman" w:eastAsia="宋体" w:cs="宋体"/>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spacing w:val="0"/>
                      <w:sz w:val="21"/>
                      <w:szCs w:val="21"/>
                      <w:highlight w:val="none"/>
                      <w:lang w:val="en-US" w:eastAsia="zh-CN"/>
                    </w:rPr>
                    <w:t>3#</w:t>
                  </w:r>
                </w:p>
              </w:tc>
              <w:tc>
                <w:tcPr>
                  <w:tcW w:w="2117" w:type="dxa"/>
                  <w:tcBorders>
                    <w:tl2br w:val="nil"/>
                    <w:tr2bl w:val="nil"/>
                  </w:tcBorders>
                  <w:noWrap w:val="0"/>
                  <w:vAlign w:val="center"/>
                </w:tcPr>
                <w:p w14:paraId="1142657A">
                  <w:pPr>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default" w:ascii="Times New Roman" w:hAnsi="Times New Roman" w:eastAsia="宋体" w:cs="宋体"/>
                      <w:bCs/>
                      <w:caps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厂界西</w:t>
                  </w:r>
                  <w:r>
                    <w:rPr>
                      <w:rFonts w:hint="default" w:ascii="Times New Roman" w:hAnsi="Times New Roman" w:eastAsia="宋体" w:cs="宋体"/>
                      <w:caps w:val="0"/>
                      <w:color w:val="auto"/>
                      <w:spacing w:val="0"/>
                      <w:sz w:val="21"/>
                      <w:szCs w:val="21"/>
                      <w:highlight w:val="none"/>
                    </w:rPr>
                    <w:t>侧外1m</w:t>
                  </w:r>
                </w:p>
              </w:tc>
              <w:tc>
                <w:tcPr>
                  <w:tcW w:w="1476" w:type="dxa"/>
                  <w:tcBorders>
                    <w:tl2br w:val="nil"/>
                    <w:tr2bl w:val="nil"/>
                  </w:tcBorders>
                  <w:noWrap w:val="0"/>
                  <w:vAlign w:val="center"/>
                </w:tcPr>
                <w:p w14:paraId="76396351">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55</w:t>
                  </w:r>
                </w:p>
              </w:tc>
              <w:tc>
                <w:tcPr>
                  <w:tcW w:w="1476" w:type="dxa"/>
                  <w:tcBorders>
                    <w:tl2br w:val="nil"/>
                    <w:tr2bl w:val="nil"/>
                  </w:tcBorders>
                  <w:noWrap w:val="0"/>
                  <w:vAlign w:val="center"/>
                </w:tcPr>
                <w:p w14:paraId="4DE55FD3">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47</w:t>
                  </w:r>
                </w:p>
              </w:tc>
              <w:tc>
                <w:tcPr>
                  <w:tcW w:w="1476" w:type="dxa"/>
                  <w:tcBorders>
                    <w:tl2br w:val="nil"/>
                    <w:tr2bl w:val="nil"/>
                  </w:tcBorders>
                  <w:noWrap w:val="0"/>
                  <w:vAlign w:val="center"/>
                </w:tcPr>
                <w:p w14:paraId="3E3895FA">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55</w:t>
                  </w:r>
                </w:p>
              </w:tc>
              <w:tc>
                <w:tcPr>
                  <w:tcW w:w="1476" w:type="dxa"/>
                  <w:tcBorders>
                    <w:tl2br w:val="nil"/>
                    <w:tr2bl w:val="nil"/>
                  </w:tcBorders>
                  <w:noWrap w:val="0"/>
                  <w:vAlign w:val="center"/>
                </w:tcPr>
                <w:p w14:paraId="18724986">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46</w:t>
                  </w:r>
                </w:p>
              </w:tc>
            </w:tr>
            <w:tr w14:paraId="0F3F4E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018297DF">
                  <w:pPr>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default" w:ascii="Times New Roman" w:hAnsi="Times New Roman" w:eastAsia="宋体" w:cs="宋体"/>
                      <w:caps w:val="0"/>
                      <w:color w:val="auto"/>
                      <w:kern w:val="2"/>
                      <w:sz w:val="21"/>
                      <w:szCs w:val="21"/>
                      <w:highlight w:val="none"/>
                      <w:lang w:val="en-US" w:eastAsia="zh-CN" w:bidi="ar-SA"/>
                    </w:rPr>
                  </w:pPr>
                  <w:r>
                    <w:rPr>
                      <w:rFonts w:hint="eastAsia" w:ascii="Times New Roman" w:hAnsi="Times New Roman" w:eastAsia="宋体" w:cs="宋体"/>
                      <w:caps w:val="0"/>
                      <w:color w:val="auto"/>
                      <w:kern w:val="2"/>
                      <w:sz w:val="21"/>
                      <w:szCs w:val="21"/>
                      <w:highlight w:val="none"/>
                      <w:lang w:val="en-US" w:eastAsia="zh-CN" w:bidi="ar-SA"/>
                    </w:rPr>
                    <w:t>▲</w:t>
                  </w:r>
                  <w:r>
                    <w:rPr>
                      <w:rFonts w:hint="default" w:ascii="Times New Roman" w:hAnsi="Times New Roman" w:eastAsia="宋体" w:cs="宋体"/>
                      <w:b w:val="0"/>
                      <w:bCs w:val="0"/>
                      <w:caps w:val="0"/>
                      <w:color w:val="auto"/>
                      <w:spacing w:val="0"/>
                      <w:sz w:val="21"/>
                      <w:szCs w:val="21"/>
                      <w:highlight w:val="none"/>
                      <w:lang w:val="en-US" w:eastAsia="zh-CN"/>
                    </w:rPr>
                    <w:t>4#</w:t>
                  </w:r>
                </w:p>
              </w:tc>
              <w:tc>
                <w:tcPr>
                  <w:tcW w:w="2117" w:type="dxa"/>
                  <w:tcBorders>
                    <w:tl2br w:val="nil"/>
                    <w:tr2bl w:val="nil"/>
                  </w:tcBorders>
                  <w:noWrap w:val="0"/>
                  <w:vAlign w:val="center"/>
                </w:tcPr>
                <w:p w14:paraId="1874815D">
                  <w:pPr>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default" w:ascii="Times New Roman" w:hAnsi="Times New Roman" w:eastAsia="宋体" w:cs="宋体"/>
                      <w:bCs/>
                      <w:caps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厂界北</w:t>
                  </w:r>
                  <w:r>
                    <w:rPr>
                      <w:rFonts w:hint="default" w:ascii="Times New Roman" w:hAnsi="Times New Roman" w:eastAsia="宋体" w:cs="宋体"/>
                      <w:caps w:val="0"/>
                      <w:color w:val="auto"/>
                      <w:spacing w:val="0"/>
                      <w:sz w:val="21"/>
                      <w:szCs w:val="21"/>
                      <w:highlight w:val="none"/>
                    </w:rPr>
                    <w:t>侧外1m</w:t>
                  </w:r>
                </w:p>
              </w:tc>
              <w:tc>
                <w:tcPr>
                  <w:tcW w:w="1476" w:type="dxa"/>
                  <w:tcBorders>
                    <w:tl2br w:val="nil"/>
                    <w:tr2bl w:val="nil"/>
                  </w:tcBorders>
                  <w:noWrap w:val="0"/>
                  <w:vAlign w:val="center"/>
                </w:tcPr>
                <w:p w14:paraId="5BB6BEC2">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52</w:t>
                  </w:r>
                </w:p>
              </w:tc>
              <w:tc>
                <w:tcPr>
                  <w:tcW w:w="1476" w:type="dxa"/>
                  <w:tcBorders>
                    <w:tl2br w:val="nil"/>
                    <w:tr2bl w:val="nil"/>
                  </w:tcBorders>
                  <w:noWrap w:val="0"/>
                  <w:vAlign w:val="center"/>
                </w:tcPr>
                <w:p w14:paraId="3D6BF675">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44</w:t>
                  </w:r>
                </w:p>
              </w:tc>
              <w:tc>
                <w:tcPr>
                  <w:tcW w:w="1476" w:type="dxa"/>
                  <w:tcBorders>
                    <w:tl2br w:val="nil"/>
                    <w:tr2bl w:val="nil"/>
                  </w:tcBorders>
                  <w:noWrap w:val="0"/>
                  <w:vAlign w:val="center"/>
                </w:tcPr>
                <w:p w14:paraId="082DA38E">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51</w:t>
                  </w:r>
                </w:p>
              </w:tc>
              <w:tc>
                <w:tcPr>
                  <w:tcW w:w="1476" w:type="dxa"/>
                  <w:tcBorders>
                    <w:tl2br w:val="nil"/>
                    <w:tr2bl w:val="nil"/>
                  </w:tcBorders>
                  <w:noWrap w:val="0"/>
                  <w:vAlign w:val="center"/>
                </w:tcPr>
                <w:p w14:paraId="6413809F">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default" w:ascii="Times New Roman" w:hAnsi="Times New Roman" w:eastAsia="宋体" w:cs="宋体"/>
                      <w:i w:val="0"/>
                      <w:iCs w:val="0"/>
                      <w:caps w:val="0"/>
                      <w:color w:val="000000"/>
                      <w:kern w:val="0"/>
                      <w:sz w:val="21"/>
                      <w:szCs w:val="21"/>
                      <w:highlight w:val="none"/>
                      <w:u w:val="none"/>
                      <w:lang w:val="en-US" w:eastAsia="zh-CN" w:bidi="ar"/>
                    </w:rPr>
                  </w:pPr>
                  <w:r>
                    <w:rPr>
                      <w:rFonts w:hint="default" w:ascii="Times New Roman" w:hAnsi="Times New Roman" w:eastAsia="宋体" w:cs="宋体"/>
                      <w:i w:val="0"/>
                      <w:iCs w:val="0"/>
                      <w:caps w:val="0"/>
                      <w:color w:val="000000"/>
                      <w:kern w:val="0"/>
                      <w:sz w:val="21"/>
                      <w:szCs w:val="21"/>
                      <w:highlight w:val="none"/>
                      <w:u w:val="none"/>
                      <w:lang w:val="en-US" w:eastAsia="zh-CN" w:bidi="ar"/>
                    </w:rPr>
                    <w:t>43</w:t>
                  </w:r>
                </w:p>
              </w:tc>
            </w:tr>
          </w:tbl>
          <w:p w14:paraId="0228C4E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aps w:val="0"/>
                <w:spacing w:val="0"/>
                <w:kern w:val="0"/>
                <w:sz w:val="24"/>
                <w:highlight w:val="none"/>
                <w:lang w:val="en-US" w:eastAsia="zh-CN"/>
              </w:rPr>
            </w:pPr>
            <w:r>
              <w:rPr>
                <w:rFonts w:hint="eastAsia" w:ascii="Times New Roman" w:hAnsi="Times New Roman" w:eastAsia="宋体" w:cs="宋体"/>
                <w:caps w:val="0"/>
                <w:highlight w:val="none"/>
                <w:lang w:eastAsia="zh-CN"/>
              </w:rPr>
              <w:drawing>
                <wp:inline distT="0" distB="0" distL="114300" distR="114300">
                  <wp:extent cx="4933950" cy="3219450"/>
                  <wp:effectExtent l="0" t="0" r="0" b="0"/>
                  <wp:docPr id="33" name="图片 9" descr="e5d894a5-1e5e-4f33-94ea-bea10b80c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descr="e5d894a5-1e5e-4f33-94ea-bea10b80c6b9"/>
                          <pic:cNvPicPr>
                            <a:picLocks noChangeAspect="1"/>
                          </pic:cNvPicPr>
                        </pic:nvPicPr>
                        <pic:blipFill>
                          <a:blip r:embed="rId25"/>
                          <a:stretch>
                            <a:fillRect/>
                          </a:stretch>
                        </pic:blipFill>
                        <pic:spPr>
                          <a:xfrm>
                            <a:off x="0" y="0"/>
                            <a:ext cx="4933950" cy="3219450"/>
                          </a:xfrm>
                          <a:prstGeom prst="rect">
                            <a:avLst/>
                          </a:prstGeom>
                          <a:noFill/>
                          <a:ln>
                            <a:noFill/>
                          </a:ln>
                        </pic:spPr>
                      </pic:pic>
                    </a:graphicData>
                  </a:graphic>
                </wp:inline>
              </w:drawing>
            </w:r>
          </w:p>
          <w:p w14:paraId="7DAC5D6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center"/>
              <w:textAlignment w:val="auto"/>
              <w:rPr>
                <w:rFonts w:hint="default" w:ascii="Times New Roman" w:hAnsi="Times New Roman" w:eastAsia="宋体" w:cs="宋体"/>
                <w:caps w:val="0"/>
                <w:spacing w:val="0"/>
                <w:kern w:val="0"/>
                <w:sz w:val="24"/>
                <w:highlight w:val="none"/>
                <w:lang w:val="en-US" w:eastAsia="zh-CN"/>
              </w:rPr>
            </w:pPr>
            <w:r>
              <w:rPr>
                <w:rFonts w:hint="eastAsia" w:ascii="Times New Roman" w:hAnsi="Times New Roman" w:eastAsia="宋体" w:cs="宋体"/>
                <w:caps w:val="0"/>
                <w:spacing w:val="0"/>
                <w:kern w:val="0"/>
                <w:sz w:val="24"/>
                <w:highlight w:val="none"/>
                <w:lang w:val="en-US" w:eastAsia="zh-CN"/>
              </w:rPr>
              <w:t>图2-4 噪声监测布点图</w:t>
            </w:r>
          </w:p>
          <w:p w14:paraId="52A38A1D">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kern w:val="0"/>
                <w:sz w:val="24"/>
                <w:highlight w:val="none"/>
                <w:lang w:val="en-US" w:eastAsia="zh-CN"/>
              </w:rPr>
              <w:t>根据上述监测结果，厂界噪声满足</w:t>
            </w:r>
            <w:r>
              <w:rPr>
                <w:rFonts w:hint="eastAsia" w:ascii="Times New Roman" w:hAnsi="Times New Roman" w:eastAsia="宋体" w:cs="宋体"/>
                <w:caps w:val="0"/>
                <w:spacing w:val="0"/>
                <w:sz w:val="24"/>
                <w:szCs w:val="24"/>
                <w:highlight w:val="none"/>
              </w:rPr>
              <w:t>《工业企业厂界环境噪声排放标准》（GB12348-2008）表1中</w:t>
            </w:r>
            <w:r>
              <w:rPr>
                <w:rFonts w:hint="eastAsia" w:ascii="Times New Roman" w:hAnsi="Times New Roman" w:eastAsia="宋体" w:cs="宋体"/>
                <w:caps w:val="0"/>
                <w:spacing w:val="0"/>
                <w:sz w:val="24"/>
                <w:szCs w:val="24"/>
                <w:highlight w:val="none"/>
                <w:lang w:val="en-US" w:eastAsia="zh-CN"/>
              </w:rPr>
              <w:t>2类排放标准。</w:t>
            </w:r>
          </w:p>
          <w:p w14:paraId="08AEB4D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（3）固体废物</w:t>
            </w:r>
          </w:p>
          <w:p w14:paraId="2F226EF0">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现有工程产生的主要固体废物为生活垃圾4.5t/a、灰渣210t/a、布袋除尘器集尘32.259t/a。产生的生活垃圾由环卫部门清运处理，灰渣与布袋除尘器集尘外售综合利用。</w:t>
            </w:r>
          </w:p>
          <w:p w14:paraId="6A8286C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cs="宋体"/>
                <w:caps w:val="0"/>
                <w:spacing w:val="0"/>
                <w:sz w:val="24"/>
                <w:szCs w:val="24"/>
                <w:highlight w:val="none"/>
                <w:lang w:val="en-US" w:eastAsia="zh-CN"/>
              </w:rPr>
              <w:t>一般情况下，导热油的更换周期为5-10年，现有工程于2018年经过验收正式投产，未超过10年。经核查发现，现有工程到目前为止实际生产过程中未产生过废导热油、废机油等危险废物，因此现有工程未建设危废贮存点，未转运危险废物。本项目建成后，出于对企业长远考虑，本次新增危废贮存点，新增废导热油、废机油等危险废物。</w:t>
            </w:r>
          </w:p>
          <w:p w14:paraId="1106DA1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cs="宋体"/>
                <w:caps w:val="0"/>
                <w:spacing w:val="0"/>
                <w:sz w:val="24"/>
                <w:szCs w:val="24"/>
                <w:highlight w:val="none"/>
                <w:lang w:val="en-US" w:eastAsia="zh-CN"/>
              </w:rPr>
            </w:pPr>
            <w:r>
              <w:rPr>
                <w:rFonts w:hint="eastAsia" w:ascii="Times New Roman" w:hAnsi="Times New Roman" w:cs="宋体"/>
                <w:caps w:val="0"/>
                <w:spacing w:val="0"/>
                <w:sz w:val="24"/>
                <w:szCs w:val="24"/>
                <w:highlight w:val="none"/>
                <w:lang w:val="en-US" w:eastAsia="zh-CN"/>
              </w:rPr>
              <w:t>（4）废水</w:t>
            </w:r>
          </w:p>
          <w:p w14:paraId="60619E9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宋体"/>
                <w:caps w:val="0"/>
                <w:spacing w:val="0"/>
                <w:sz w:val="24"/>
                <w:szCs w:val="24"/>
                <w:highlight w:val="none"/>
                <w:lang w:val="en-US" w:eastAsia="zh-CN"/>
              </w:rPr>
            </w:pPr>
            <w:r>
              <w:rPr>
                <w:rFonts w:hint="eastAsia" w:ascii="Times New Roman" w:hAnsi="Times New Roman" w:cs="宋体"/>
                <w:caps w:val="0"/>
                <w:spacing w:val="0"/>
                <w:sz w:val="24"/>
                <w:szCs w:val="24"/>
                <w:highlight w:val="none"/>
                <w:lang w:val="en-US" w:eastAsia="zh-CN"/>
              </w:rPr>
              <w:t>现有工程产生的主要废水为生活污水，生活污水排入化粪池沉淀，定期拉运至梨树污水处理厂集中处理。</w:t>
            </w:r>
          </w:p>
          <w:p w14:paraId="24688A0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ascii="Times New Roman" w:hAnsi="Times New Roman" w:eastAsia="宋体" w:cs="宋体"/>
                <w:b/>
                <w:bCs/>
                <w:caps w:val="0"/>
                <w:sz w:val="24"/>
                <w:highlight w:val="none"/>
              </w:rPr>
            </w:pPr>
            <w:r>
              <w:rPr>
                <w:rFonts w:hint="eastAsia" w:ascii="Times New Roman" w:hAnsi="Times New Roman" w:eastAsia="宋体" w:cs="宋体"/>
                <w:b/>
                <w:bCs/>
                <w:caps w:val="0"/>
                <w:sz w:val="24"/>
                <w:highlight w:val="none"/>
                <w:lang w:val="en-US" w:eastAsia="zh-CN"/>
              </w:rPr>
              <w:t>3.</w:t>
            </w:r>
            <w:r>
              <w:rPr>
                <w:rFonts w:ascii="Times New Roman" w:hAnsi="Times New Roman" w:eastAsia="宋体" w:cs="宋体"/>
                <w:b/>
                <w:bCs/>
                <w:caps w:val="0"/>
                <w:sz w:val="24"/>
                <w:highlight w:val="none"/>
              </w:rPr>
              <w:t>运营期污染物排放情况</w:t>
            </w:r>
          </w:p>
          <w:p w14:paraId="70F9B5ED">
            <w:pPr>
              <w:pStyle w:val="48"/>
              <w:keepNext w:val="0"/>
              <w:keepLines w:val="0"/>
              <w:pageBreakBefore w:val="0"/>
              <w:shd w:val="clear"/>
              <w:kinsoku/>
              <w:wordWrap/>
              <w:overflowPunct/>
              <w:topLinePunct w:val="0"/>
              <w:autoSpaceDE/>
              <w:autoSpaceDN/>
              <w:bidi w:val="0"/>
              <w:adjustRightInd w:val="0"/>
              <w:snapToGrid w:val="0"/>
              <w:spacing w:line="360" w:lineRule="auto"/>
              <w:ind w:left="0" w:leftChars="0" w:right="0"/>
              <w:textAlignment w:val="auto"/>
              <w:rPr>
                <w:rFonts w:hint="default" w:ascii="Times New Roman" w:hAnsi="Times New Roman" w:eastAsia="宋体" w:cs="宋体"/>
                <w:b w:val="0"/>
                <w:bCs/>
                <w:caps w:val="0"/>
                <w:color w:val="auto"/>
                <w:kern w:val="0"/>
                <w:sz w:val="24"/>
                <w:szCs w:val="24"/>
                <w:highlight w:val="none"/>
                <w:lang w:val="en-US" w:eastAsia="zh-CN" w:bidi="ar"/>
              </w:rPr>
            </w:pPr>
            <w:r>
              <w:rPr>
                <w:rFonts w:hint="eastAsia" w:ascii="Times New Roman" w:hAnsi="Times New Roman" w:cs="宋体"/>
                <w:b w:val="0"/>
                <w:bCs/>
                <w:caps w:val="0"/>
                <w:color w:val="auto"/>
                <w:kern w:val="0"/>
                <w:sz w:val="24"/>
                <w:szCs w:val="24"/>
                <w:highlight w:val="none"/>
                <w:lang w:val="en-US" w:eastAsia="zh-CN" w:bidi="ar"/>
              </w:rPr>
              <w:t>原有工程废气污染物排放总量进行核算，采用产污系数法进行核算，根据建设单位提供数据，近三年生物质平均消耗量为965吨，根据《排放源统计调查产排污核算方法和系数手册-4430工业锅炉（热力供应）行业系数手册》，产污系数如下：</w:t>
            </w:r>
          </w:p>
          <w:p w14:paraId="36B99BBC">
            <w:pPr>
              <w:pStyle w:val="48"/>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宋体"/>
                <w:b/>
                <w:bCs w:val="0"/>
                <w:caps w:val="0"/>
                <w:color w:val="auto"/>
                <w:kern w:val="0"/>
                <w:sz w:val="21"/>
                <w:szCs w:val="21"/>
                <w:highlight w:val="none"/>
                <w:lang w:val="en-US" w:eastAsia="zh-CN" w:bidi="ar"/>
              </w:rPr>
            </w:pPr>
            <w:r>
              <w:rPr>
                <w:rFonts w:hint="eastAsia" w:ascii="Times New Roman" w:hAnsi="Times New Roman" w:cs="宋体"/>
                <w:b/>
                <w:bCs w:val="0"/>
                <w:caps w:val="0"/>
                <w:color w:val="auto"/>
                <w:kern w:val="0"/>
                <w:sz w:val="21"/>
                <w:szCs w:val="21"/>
                <w:highlight w:val="none"/>
                <w:lang w:val="en-US" w:eastAsia="zh-CN" w:bidi="ar"/>
              </w:rPr>
              <w:t>表</w:t>
            </w:r>
            <w:r>
              <w:rPr>
                <w:rFonts w:hint="eastAsia" w:cs="宋体"/>
                <w:b/>
                <w:bCs w:val="0"/>
                <w:caps w:val="0"/>
                <w:color w:val="auto"/>
                <w:kern w:val="0"/>
                <w:sz w:val="21"/>
                <w:szCs w:val="21"/>
                <w:highlight w:val="none"/>
                <w:lang w:val="en-US" w:eastAsia="zh-CN" w:bidi="ar"/>
              </w:rPr>
              <w:t>2-9</w:t>
            </w:r>
            <w:r>
              <w:rPr>
                <w:rFonts w:hint="eastAsia" w:ascii="Times New Roman" w:hAnsi="Times New Roman" w:cs="宋体"/>
                <w:b/>
                <w:bCs w:val="0"/>
                <w:caps w:val="0"/>
                <w:color w:val="auto"/>
                <w:kern w:val="0"/>
                <w:sz w:val="21"/>
                <w:szCs w:val="21"/>
                <w:highlight w:val="none"/>
                <w:lang w:val="en-US" w:eastAsia="zh-CN" w:bidi="ar"/>
              </w:rPr>
              <w:t xml:space="preserve"> 产污系数表</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85"/>
              <w:gridCol w:w="3886"/>
            </w:tblGrid>
            <w:tr w14:paraId="3A25E8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885" w:type="dxa"/>
                  <w:tcBorders>
                    <w:tl2br w:val="nil"/>
                    <w:tr2bl w:val="nil"/>
                  </w:tcBorders>
                  <w:vAlign w:val="center"/>
                </w:tcPr>
                <w:p w14:paraId="4E67F1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val="0"/>
                      <w:sz w:val="21"/>
                      <w:szCs w:val="21"/>
                      <w:highlight w:val="none"/>
                      <w:vertAlign w:val="baseline"/>
                      <w:lang w:val="en-US" w:eastAsia="zh-CN"/>
                    </w:rPr>
                  </w:pPr>
                  <w:r>
                    <w:rPr>
                      <w:rFonts w:hint="eastAsia"/>
                      <w:b/>
                      <w:bCs w:val="0"/>
                      <w:sz w:val="21"/>
                      <w:szCs w:val="21"/>
                      <w:highlight w:val="none"/>
                      <w:vertAlign w:val="baseline"/>
                      <w:lang w:val="en-US" w:eastAsia="zh-CN"/>
                    </w:rPr>
                    <w:t>污染物</w:t>
                  </w:r>
                </w:p>
              </w:tc>
              <w:tc>
                <w:tcPr>
                  <w:tcW w:w="3886" w:type="dxa"/>
                  <w:tcBorders>
                    <w:tl2br w:val="nil"/>
                    <w:tr2bl w:val="nil"/>
                  </w:tcBorders>
                  <w:vAlign w:val="center"/>
                </w:tcPr>
                <w:p w14:paraId="36A901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val="0"/>
                      <w:sz w:val="21"/>
                      <w:szCs w:val="21"/>
                      <w:highlight w:val="none"/>
                      <w:vertAlign w:val="baseline"/>
                      <w:lang w:val="en-US" w:eastAsia="zh-CN"/>
                    </w:rPr>
                  </w:pPr>
                  <w:r>
                    <w:rPr>
                      <w:rFonts w:hint="eastAsia"/>
                      <w:b/>
                      <w:bCs w:val="0"/>
                      <w:sz w:val="21"/>
                      <w:szCs w:val="21"/>
                      <w:highlight w:val="none"/>
                      <w:vertAlign w:val="baseline"/>
                      <w:lang w:val="en-US" w:eastAsia="zh-CN"/>
                    </w:rPr>
                    <w:t>产污系数</w:t>
                  </w:r>
                </w:p>
              </w:tc>
            </w:tr>
            <w:tr w14:paraId="0FA904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885" w:type="dxa"/>
                  <w:tcBorders>
                    <w:tl2br w:val="nil"/>
                    <w:tr2bl w:val="nil"/>
                  </w:tcBorders>
                  <w:vAlign w:val="center"/>
                </w:tcPr>
                <w:p w14:paraId="4F6F60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颗粒物</w:t>
                  </w:r>
                </w:p>
              </w:tc>
              <w:tc>
                <w:tcPr>
                  <w:tcW w:w="3886" w:type="dxa"/>
                  <w:tcBorders>
                    <w:tl2br w:val="nil"/>
                    <w:tr2bl w:val="nil"/>
                  </w:tcBorders>
                  <w:vAlign w:val="center"/>
                </w:tcPr>
                <w:p w14:paraId="3B3A1E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0.5千克/吨-原料</w:t>
                  </w:r>
                </w:p>
              </w:tc>
            </w:tr>
            <w:tr w14:paraId="24D63F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885" w:type="dxa"/>
                  <w:tcBorders>
                    <w:tl2br w:val="nil"/>
                    <w:tr2bl w:val="nil"/>
                  </w:tcBorders>
                  <w:vAlign w:val="center"/>
                </w:tcPr>
                <w:p w14:paraId="2B340E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二氧化硫</w:t>
                  </w:r>
                </w:p>
              </w:tc>
              <w:tc>
                <w:tcPr>
                  <w:tcW w:w="3886" w:type="dxa"/>
                  <w:tcBorders>
                    <w:tl2br w:val="nil"/>
                    <w:tr2bl w:val="nil"/>
                  </w:tcBorders>
                  <w:vAlign w:val="center"/>
                </w:tcPr>
                <w:p w14:paraId="07182C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17s千克/吨-原料</w:t>
                  </w:r>
                </w:p>
              </w:tc>
            </w:tr>
            <w:tr w14:paraId="774053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885" w:type="dxa"/>
                  <w:tcBorders>
                    <w:tl2br w:val="nil"/>
                    <w:tr2bl w:val="nil"/>
                  </w:tcBorders>
                  <w:vAlign w:val="center"/>
                </w:tcPr>
                <w:p w14:paraId="374426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氮氧化物</w:t>
                  </w:r>
                </w:p>
              </w:tc>
              <w:tc>
                <w:tcPr>
                  <w:tcW w:w="3886" w:type="dxa"/>
                  <w:tcBorders>
                    <w:tl2br w:val="nil"/>
                    <w:tr2bl w:val="nil"/>
                  </w:tcBorders>
                  <w:vAlign w:val="center"/>
                </w:tcPr>
                <w:p w14:paraId="475CA5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1.02千克/吨-原料</w:t>
                  </w:r>
                </w:p>
              </w:tc>
            </w:tr>
            <w:tr w14:paraId="2F2451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71" w:type="dxa"/>
                  <w:gridSpan w:val="2"/>
                  <w:tcBorders>
                    <w:tl2br w:val="nil"/>
                    <w:tr2bl w:val="nil"/>
                  </w:tcBorders>
                  <w:vAlign w:val="center"/>
                </w:tcPr>
                <w:p w14:paraId="2B0594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highlight w:val="none"/>
                      <w:vertAlign w:val="baseline"/>
                      <w:lang w:val="en-US" w:eastAsia="zh-CN"/>
                    </w:rPr>
                  </w:pPr>
                  <w:r>
                    <w:rPr>
                      <w:rFonts w:hint="eastAsia"/>
                      <w:sz w:val="18"/>
                      <w:szCs w:val="18"/>
                      <w:highlight w:val="none"/>
                      <w:lang w:val="en-US" w:eastAsia="zh-CN"/>
                    </w:rPr>
                    <w:t>注：二氧化硫的产污系数是以含硫量（S％）的形式表示的，其中含硫量（S％）是指生物质收到基硫分含量，以质量百分数的形式表示。</w:t>
                  </w:r>
                </w:p>
              </w:tc>
            </w:tr>
          </w:tbl>
          <w:p w14:paraId="1FEF15DA">
            <w:pPr>
              <w:rPr>
                <w:rFonts w:hint="eastAsia"/>
                <w:sz w:val="24"/>
                <w:szCs w:val="24"/>
                <w:highlight w:val="none"/>
                <w:lang w:val="en-US" w:eastAsia="zh-CN"/>
              </w:rPr>
            </w:pPr>
            <w:r>
              <w:rPr>
                <w:rFonts w:hint="eastAsia"/>
                <w:sz w:val="24"/>
                <w:szCs w:val="24"/>
                <w:highlight w:val="none"/>
                <w:lang w:val="en-US" w:eastAsia="zh-CN"/>
              </w:rPr>
              <w:t>根据燃料分析报告，生物质含硫量为0.07%，则S为0.07。</w:t>
            </w:r>
          </w:p>
          <w:p w14:paraId="5BCDDEFA">
            <w:pPr>
              <w:pStyle w:val="19"/>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sz w:val="24"/>
                <w:szCs w:val="18"/>
                <w:highlight w:val="none"/>
                <w:lang w:val="en-US" w:eastAsia="zh-CN"/>
              </w:rPr>
            </w:pPr>
            <w:r>
              <w:rPr>
                <w:rFonts w:hint="eastAsia"/>
                <w:sz w:val="24"/>
                <w:szCs w:val="18"/>
                <w:highlight w:val="none"/>
                <w:lang w:val="en-US" w:eastAsia="zh-CN"/>
              </w:rPr>
              <w:t>根据产污系数计算，现有工程颗粒物的排放量为0.00145t/a，二氧化硫的排放量为1.1484t/a；氮氧化物的排放量为0.689t/a</w:t>
            </w:r>
          </w:p>
          <w:p w14:paraId="4ADD8EAA">
            <w:pPr>
              <w:pStyle w:val="5"/>
              <w:keepNext w:val="0"/>
              <w:keepLines w:val="0"/>
              <w:pageBreakBefore w:val="0"/>
              <w:widowControl/>
              <w:shd w:val="clear"/>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宋体"/>
                <w:b/>
                <w:bCs w:val="0"/>
                <w:caps w:val="0"/>
                <w:color w:val="auto"/>
                <w:kern w:val="2"/>
                <w:sz w:val="21"/>
                <w:szCs w:val="21"/>
                <w:highlight w:val="none"/>
                <w:lang w:val="en-US" w:eastAsia="zh-CN" w:bidi="ar-SA"/>
              </w:rPr>
            </w:pPr>
            <w:r>
              <w:rPr>
                <w:rFonts w:hint="eastAsia" w:ascii="Times New Roman" w:hAnsi="Times New Roman" w:eastAsia="宋体" w:cs="宋体"/>
                <w:b/>
                <w:bCs w:val="0"/>
                <w:caps w:val="0"/>
                <w:color w:val="auto"/>
                <w:kern w:val="2"/>
                <w:sz w:val="21"/>
                <w:szCs w:val="21"/>
                <w:highlight w:val="none"/>
                <w:lang w:val="en-US" w:eastAsia="zh-CN" w:bidi="ar-SA"/>
              </w:rPr>
              <w:t>表</w:t>
            </w:r>
            <w:r>
              <w:rPr>
                <w:rFonts w:hint="eastAsia" w:eastAsia="宋体" w:cs="宋体"/>
                <w:b/>
                <w:bCs w:val="0"/>
                <w:caps w:val="0"/>
                <w:color w:val="auto"/>
                <w:kern w:val="2"/>
                <w:sz w:val="21"/>
                <w:szCs w:val="21"/>
                <w:highlight w:val="none"/>
                <w:lang w:val="en-US" w:eastAsia="zh-CN" w:bidi="ar-SA"/>
              </w:rPr>
              <w:t>2-</w:t>
            </w:r>
            <w:r>
              <w:rPr>
                <w:rFonts w:hint="eastAsia" w:cs="宋体"/>
                <w:b/>
                <w:bCs w:val="0"/>
                <w:caps w:val="0"/>
                <w:color w:val="auto"/>
                <w:kern w:val="2"/>
                <w:sz w:val="21"/>
                <w:szCs w:val="21"/>
                <w:highlight w:val="none"/>
                <w:lang w:val="en-US" w:eastAsia="zh-CN" w:bidi="ar-SA"/>
              </w:rPr>
              <w:t>10</w:t>
            </w:r>
            <w:r>
              <w:rPr>
                <w:rFonts w:hint="eastAsia" w:eastAsia="宋体" w:cs="宋体"/>
                <w:b/>
                <w:bCs w:val="0"/>
                <w:caps w:val="0"/>
                <w:color w:val="auto"/>
                <w:kern w:val="2"/>
                <w:sz w:val="21"/>
                <w:szCs w:val="21"/>
                <w:highlight w:val="none"/>
                <w:lang w:val="en-US" w:eastAsia="zh-CN" w:bidi="ar-SA"/>
              </w:rPr>
              <w:t>现有工程预测排放量</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39"/>
              <w:gridCol w:w="2844"/>
              <w:gridCol w:w="2688"/>
            </w:tblGrid>
            <w:tr w14:paraId="4D1F3C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40" w:type="pct"/>
                  <w:tcBorders>
                    <w:tl2br w:val="nil"/>
                    <w:tr2bl w:val="nil"/>
                  </w:tcBorders>
                  <w:noWrap w:val="0"/>
                  <w:vAlign w:val="center"/>
                </w:tcPr>
                <w:p w14:paraId="777871B2">
                  <w:pPr>
                    <w:pStyle w:val="42"/>
                    <w:keepNext w:val="0"/>
                    <w:keepLines w:val="0"/>
                    <w:pageBreakBefore w:val="0"/>
                    <w:widowControl w:val="0"/>
                    <w:shd w:val="clear"/>
                    <w:kinsoku/>
                    <w:wordWrap/>
                    <w:overflowPunct/>
                    <w:topLinePunct w:val="0"/>
                    <w:bidi w:val="0"/>
                    <w:adjustRightInd w:val="0"/>
                    <w:spacing w:line="240" w:lineRule="auto"/>
                    <w:ind w:firstLine="0" w:firstLineChars="0"/>
                    <w:jc w:val="center"/>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类别</w:t>
                  </w:r>
                </w:p>
              </w:tc>
              <w:tc>
                <w:tcPr>
                  <w:tcW w:w="1829" w:type="pct"/>
                  <w:tcBorders>
                    <w:tl2br w:val="nil"/>
                    <w:tr2bl w:val="nil"/>
                  </w:tcBorders>
                  <w:noWrap w:val="0"/>
                  <w:vAlign w:val="center"/>
                </w:tcPr>
                <w:p w14:paraId="66126B2A">
                  <w:pPr>
                    <w:pStyle w:val="42"/>
                    <w:keepNext w:val="0"/>
                    <w:keepLines w:val="0"/>
                    <w:pageBreakBefore w:val="0"/>
                    <w:widowControl w:val="0"/>
                    <w:shd w:val="clear"/>
                    <w:kinsoku/>
                    <w:wordWrap/>
                    <w:overflowPunct/>
                    <w:topLinePunct w:val="0"/>
                    <w:bidi w:val="0"/>
                    <w:adjustRightInd w:val="0"/>
                    <w:spacing w:line="240" w:lineRule="auto"/>
                    <w:ind w:firstLine="0" w:firstLineChars="0"/>
                    <w:jc w:val="center"/>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总量控制因子</w:t>
                  </w:r>
                </w:p>
              </w:tc>
              <w:tc>
                <w:tcPr>
                  <w:tcW w:w="1729" w:type="pct"/>
                  <w:tcBorders>
                    <w:tl2br w:val="nil"/>
                    <w:tr2bl w:val="nil"/>
                  </w:tcBorders>
                  <w:noWrap w:val="0"/>
                  <w:vAlign w:val="center"/>
                </w:tcPr>
                <w:p w14:paraId="61C94CF8">
                  <w:pPr>
                    <w:pStyle w:val="42"/>
                    <w:keepNext w:val="0"/>
                    <w:keepLines w:val="0"/>
                    <w:pageBreakBefore w:val="0"/>
                    <w:widowControl w:val="0"/>
                    <w:shd w:val="clear"/>
                    <w:kinsoku/>
                    <w:wordWrap/>
                    <w:overflowPunct/>
                    <w:topLinePunct w:val="0"/>
                    <w:bidi w:val="0"/>
                    <w:adjustRightInd w:val="0"/>
                    <w:spacing w:line="240" w:lineRule="auto"/>
                    <w:ind w:firstLine="0" w:firstLineChars="0"/>
                    <w:jc w:val="center"/>
                    <w:rPr>
                      <w:rFonts w:hint="eastAsia" w:ascii="Times New Roman" w:hAnsi="Times New Roman" w:eastAsia="宋体" w:cs="宋体"/>
                      <w:bCs/>
                      <w:caps w:val="0"/>
                      <w:color w:val="auto"/>
                      <w:sz w:val="21"/>
                      <w:szCs w:val="21"/>
                      <w:highlight w:val="none"/>
                    </w:rPr>
                  </w:pPr>
                  <w:r>
                    <w:rPr>
                      <w:rFonts w:hint="eastAsia" w:ascii="Times New Roman" w:hAnsi="Times New Roman" w:cs="宋体"/>
                      <w:bCs/>
                      <w:caps w:val="0"/>
                      <w:color w:val="auto"/>
                      <w:sz w:val="21"/>
                      <w:szCs w:val="21"/>
                      <w:highlight w:val="none"/>
                      <w:lang w:val="en-US" w:eastAsia="zh-CN"/>
                    </w:rPr>
                    <w:t>预测</w:t>
                  </w:r>
                  <w:r>
                    <w:rPr>
                      <w:rFonts w:hint="eastAsia" w:ascii="Times New Roman" w:hAnsi="Times New Roman" w:eastAsia="宋体" w:cs="宋体"/>
                      <w:bCs/>
                      <w:caps w:val="0"/>
                      <w:color w:val="auto"/>
                      <w:sz w:val="21"/>
                      <w:szCs w:val="21"/>
                      <w:highlight w:val="none"/>
                    </w:rPr>
                    <w:t>排放量（t/a）</w:t>
                  </w:r>
                </w:p>
              </w:tc>
            </w:tr>
            <w:tr w14:paraId="04C68C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40" w:type="pct"/>
                  <w:vMerge w:val="restart"/>
                  <w:tcBorders>
                    <w:tl2br w:val="nil"/>
                    <w:tr2bl w:val="nil"/>
                  </w:tcBorders>
                  <w:noWrap w:val="0"/>
                  <w:vAlign w:val="center"/>
                </w:tcPr>
                <w:p w14:paraId="2EE65B5C">
                  <w:pPr>
                    <w:pStyle w:val="42"/>
                    <w:keepNext w:val="0"/>
                    <w:keepLines w:val="0"/>
                    <w:pageBreakBefore w:val="0"/>
                    <w:widowControl w:val="0"/>
                    <w:shd w:val="clear"/>
                    <w:kinsoku/>
                    <w:wordWrap/>
                    <w:overflowPunct/>
                    <w:topLinePunct w:val="0"/>
                    <w:bidi w:val="0"/>
                    <w:adjustRightInd w:val="0"/>
                    <w:spacing w:line="240" w:lineRule="auto"/>
                    <w:ind w:firstLine="0" w:firstLineChars="0"/>
                    <w:jc w:val="center"/>
                    <w:rPr>
                      <w:rFonts w:hint="eastAsia" w:ascii="Times New Roman" w:hAnsi="Times New Roman" w:eastAsia="宋体" w:cs="宋体"/>
                      <w:bCs/>
                      <w:caps w:val="0"/>
                      <w:color w:val="auto"/>
                      <w:sz w:val="21"/>
                      <w:szCs w:val="21"/>
                      <w:highlight w:val="none"/>
                      <w:lang w:val="en-US" w:eastAsia="zh-CN"/>
                    </w:rPr>
                  </w:pPr>
                  <w:r>
                    <w:rPr>
                      <w:rFonts w:hint="eastAsia" w:ascii="Times New Roman" w:hAnsi="Times New Roman" w:eastAsia="宋体" w:cs="宋体"/>
                      <w:bCs/>
                      <w:caps w:val="0"/>
                      <w:color w:val="auto"/>
                      <w:sz w:val="21"/>
                      <w:szCs w:val="21"/>
                      <w:highlight w:val="none"/>
                      <w:lang w:val="en-US" w:eastAsia="zh-CN"/>
                    </w:rPr>
                    <w:t>废气</w:t>
                  </w:r>
                </w:p>
              </w:tc>
              <w:tc>
                <w:tcPr>
                  <w:tcW w:w="1829" w:type="pct"/>
                  <w:tcBorders>
                    <w:tl2br w:val="nil"/>
                    <w:tr2bl w:val="nil"/>
                  </w:tcBorders>
                  <w:noWrap w:val="0"/>
                  <w:vAlign w:val="center"/>
                </w:tcPr>
                <w:p w14:paraId="53C85540">
                  <w:pPr>
                    <w:pStyle w:val="42"/>
                    <w:keepNext w:val="0"/>
                    <w:keepLines w:val="0"/>
                    <w:pageBreakBefore w:val="0"/>
                    <w:widowControl w:val="0"/>
                    <w:shd w:val="clear"/>
                    <w:kinsoku/>
                    <w:wordWrap/>
                    <w:overflowPunct/>
                    <w:topLinePunct w:val="0"/>
                    <w:bidi w:val="0"/>
                    <w:adjustRightInd w:val="0"/>
                    <w:spacing w:line="240" w:lineRule="auto"/>
                    <w:ind w:firstLine="0" w:firstLineChars="0"/>
                    <w:jc w:val="center"/>
                    <w:rPr>
                      <w:rFonts w:hint="eastAsia"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颗粒物</w:t>
                  </w:r>
                </w:p>
              </w:tc>
              <w:tc>
                <w:tcPr>
                  <w:tcW w:w="1729" w:type="pct"/>
                  <w:tcBorders>
                    <w:tl2br w:val="nil"/>
                    <w:tr2bl w:val="nil"/>
                  </w:tcBorders>
                  <w:noWrap w:val="0"/>
                  <w:vAlign w:val="center"/>
                </w:tcPr>
                <w:p w14:paraId="623F82AA">
                  <w:pPr>
                    <w:keepNext w:val="0"/>
                    <w:keepLines w:val="0"/>
                    <w:pageBreakBefore w:val="0"/>
                    <w:widowControl w:val="0"/>
                    <w:shd w:val="clear"/>
                    <w:kinsoku/>
                    <w:wordWrap/>
                    <w:overflowPunct/>
                    <w:topLinePunct w:val="0"/>
                    <w:bidi w:val="0"/>
                    <w:adjustRightInd w:val="0"/>
                    <w:spacing w:line="240" w:lineRule="auto"/>
                    <w:ind w:firstLine="0" w:firstLineChars="0"/>
                    <w:jc w:val="center"/>
                    <w:textAlignment w:val="center"/>
                    <w:rPr>
                      <w:rFonts w:hint="default" w:ascii="Times New Roman" w:hAnsi="Times New Roman" w:eastAsia="宋体" w:cs="宋体"/>
                      <w:caps w:val="0"/>
                      <w:color w:val="auto"/>
                      <w:kern w:val="0"/>
                      <w:sz w:val="21"/>
                      <w:szCs w:val="21"/>
                      <w:highlight w:val="none"/>
                      <w:lang w:val="en-US" w:eastAsia="zh-CN"/>
                    </w:rPr>
                  </w:pPr>
                  <w:r>
                    <w:rPr>
                      <w:rFonts w:hint="eastAsia" w:ascii="Times New Roman" w:hAnsi="Times New Roman" w:cs="宋体"/>
                      <w:caps w:val="0"/>
                      <w:color w:val="auto"/>
                      <w:kern w:val="0"/>
                      <w:sz w:val="21"/>
                      <w:szCs w:val="21"/>
                      <w:highlight w:val="none"/>
                      <w:lang w:val="en-US" w:eastAsia="zh-CN"/>
                    </w:rPr>
                    <w:t>0.00145</w:t>
                  </w:r>
                </w:p>
              </w:tc>
            </w:tr>
            <w:tr w14:paraId="236BB5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40" w:type="pct"/>
                  <w:vMerge w:val="continue"/>
                  <w:tcBorders>
                    <w:tl2br w:val="nil"/>
                    <w:tr2bl w:val="nil"/>
                  </w:tcBorders>
                  <w:noWrap w:val="0"/>
                  <w:vAlign w:val="center"/>
                </w:tcPr>
                <w:p w14:paraId="6B8E6182">
                  <w:pPr>
                    <w:pStyle w:val="42"/>
                    <w:keepNext w:val="0"/>
                    <w:keepLines w:val="0"/>
                    <w:pageBreakBefore w:val="0"/>
                    <w:widowControl w:val="0"/>
                    <w:shd w:val="clear"/>
                    <w:kinsoku/>
                    <w:wordWrap/>
                    <w:overflowPunct/>
                    <w:topLinePunct w:val="0"/>
                    <w:bidi w:val="0"/>
                    <w:adjustRightInd w:val="0"/>
                    <w:spacing w:line="240" w:lineRule="auto"/>
                    <w:ind w:firstLine="0" w:firstLineChars="0"/>
                    <w:jc w:val="center"/>
                    <w:rPr>
                      <w:rFonts w:hint="eastAsia" w:ascii="Times New Roman" w:hAnsi="Times New Roman" w:eastAsia="宋体" w:cs="宋体"/>
                      <w:bCs/>
                      <w:caps w:val="0"/>
                      <w:color w:val="auto"/>
                      <w:sz w:val="21"/>
                      <w:szCs w:val="21"/>
                      <w:highlight w:val="none"/>
                    </w:rPr>
                  </w:pPr>
                </w:p>
              </w:tc>
              <w:tc>
                <w:tcPr>
                  <w:tcW w:w="1829" w:type="pct"/>
                  <w:tcBorders>
                    <w:tl2br w:val="nil"/>
                    <w:tr2bl w:val="nil"/>
                  </w:tcBorders>
                  <w:noWrap w:val="0"/>
                  <w:vAlign w:val="center"/>
                </w:tcPr>
                <w:p w14:paraId="7060B70F">
                  <w:pPr>
                    <w:pStyle w:val="42"/>
                    <w:keepNext w:val="0"/>
                    <w:keepLines w:val="0"/>
                    <w:pageBreakBefore w:val="0"/>
                    <w:widowControl w:val="0"/>
                    <w:shd w:val="clear"/>
                    <w:kinsoku/>
                    <w:wordWrap/>
                    <w:overflowPunct/>
                    <w:topLinePunct w:val="0"/>
                    <w:bidi w:val="0"/>
                    <w:adjustRightInd w:val="0"/>
                    <w:spacing w:line="240" w:lineRule="auto"/>
                    <w:ind w:firstLine="0" w:firstLineChars="0"/>
                    <w:jc w:val="center"/>
                    <w:rPr>
                      <w:rFonts w:hint="eastAsia"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SO</w:t>
                  </w:r>
                  <w:r>
                    <w:rPr>
                      <w:rFonts w:hint="eastAsia" w:ascii="Times New Roman" w:hAnsi="Times New Roman" w:eastAsia="宋体" w:cs="宋体"/>
                      <w:caps w:val="0"/>
                      <w:color w:val="auto"/>
                      <w:sz w:val="21"/>
                      <w:szCs w:val="21"/>
                      <w:highlight w:val="none"/>
                      <w:vertAlign w:val="subscript"/>
                      <w:lang w:val="en-US" w:eastAsia="zh-CN"/>
                    </w:rPr>
                    <w:t>2</w:t>
                  </w:r>
                </w:p>
              </w:tc>
              <w:tc>
                <w:tcPr>
                  <w:tcW w:w="1729" w:type="pct"/>
                  <w:tcBorders>
                    <w:tl2br w:val="nil"/>
                    <w:tr2bl w:val="nil"/>
                  </w:tcBorders>
                  <w:noWrap w:val="0"/>
                  <w:vAlign w:val="center"/>
                </w:tcPr>
                <w:p w14:paraId="0F4B73C1">
                  <w:pPr>
                    <w:keepNext w:val="0"/>
                    <w:keepLines w:val="0"/>
                    <w:pageBreakBefore w:val="0"/>
                    <w:widowControl w:val="0"/>
                    <w:shd w:val="clear"/>
                    <w:kinsoku/>
                    <w:wordWrap/>
                    <w:overflowPunct/>
                    <w:topLinePunct w:val="0"/>
                    <w:bidi w:val="0"/>
                    <w:adjustRightInd w:val="0"/>
                    <w:spacing w:line="240" w:lineRule="auto"/>
                    <w:ind w:firstLine="0" w:firstLineChars="0"/>
                    <w:jc w:val="center"/>
                    <w:textAlignment w:val="center"/>
                    <w:rPr>
                      <w:rFonts w:hint="default" w:ascii="Times New Roman" w:hAnsi="Times New Roman" w:eastAsia="宋体" w:cs="宋体"/>
                      <w:caps w:val="0"/>
                      <w:color w:val="auto"/>
                      <w:kern w:val="0"/>
                      <w:sz w:val="21"/>
                      <w:szCs w:val="21"/>
                      <w:highlight w:val="none"/>
                      <w:lang w:val="en-US" w:eastAsia="zh-CN"/>
                    </w:rPr>
                  </w:pPr>
                  <w:r>
                    <w:rPr>
                      <w:rFonts w:hint="eastAsia" w:ascii="Times New Roman" w:hAnsi="Times New Roman" w:cs="宋体"/>
                      <w:caps w:val="0"/>
                      <w:color w:val="auto"/>
                      <w:kern w:val="0"/>
                      <w:sz w:val="21"/>
                      <w:szCs w:val="21"/>
                      <w:highlight w:val="none"/>
                      <w:lang w:val="en-US" w:eastAsia="zh-CN"/>
                    </w:rPr>
                    <w:t>1.1484</w:t>
                  </w:r>
                </w:p>
              </w:tc>
            </w:tr>
            <w:tr w14:paraId="5F6D66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40" w:type="pct"/>
                  <w:vMerge w:val="continue"/>
                  <w:tcBorders>
                    <w:tl2br w:val="nil"/>
                    <w:tr2bl w:val="nil"/>
                  </w:tcBorders>
                  <w:noWrap w:val="0"/>
                  <w:vAlign w:val="center"/>
                </w:tcPr>
                <w:p w14:paraId="6F030D06">
                  <w:pPr>
                    <w:pStyle w:val="42"/>
                    <w:keepNext w:val="0"/>
                    <w:keepLines w:val="0"/>
                    <w:pageBreakBefore w:val="0"/>
                    <w:widowControl w:val="0"/>
                    <w:shd w:val="clear"/>
                    <w:kinsoku/>
                    <w:wordWrap/>
                    <w:overflowPunct/>
                    <w:topLinePunct w:val="0"/>
                    <w:bidi w:val="0"/>
                    <w:adjustRightInd w:val="0"/>
                    <w:spacing w:line="240" w:lineRule="auto"/>
                    <w:ind w:firstLine="0" w:firstLineChars="0"/>
                    <w:jc w:val="center"/>
                    <w:rPr>
                      <w:rFonts w:hint="eastAsia" w:ascii="Times New Roman" w:hAnsi="Times New Roman" w:eastAsia="宋体" w:cs="宋体"/>
                      <w:bCs/>
                      <w:caps w:val="0"/>
                      <w:color w:val="auto"/>
                      <w:sz w:val="21"/>
                      <w:szCs w:val="21"/>
                      <w:highlight w:val="none"/>
                      <w:lang w:val="en-US" w:eastAsia="zh-CN"/>
                    </w:rPr>
                  </w:pPr>
                </w:p>
              </w:tc>
              <w:tc>
                <w:tcPr>
                  <w:tcW w:w="1829" w:type="pct"/>
                  <w:tcBorders>
                    <w:tl2br w:val="nil"/>
                    <w:tr2bl w:val="nil"/>
                  </w:tcBorders>
                  <w:noWrap w:val="0"/>
                  <w:vAlign w:val="center"/>
                </w:tcPr>
                <w:p w14:paraId="7E879019">
                  <w:pPr>
                    <w:pStyle w:val="42"/>
                    <w:keepNext w:val="0"/>
                    <w:keepLines w:val="0"/>
                    <w:pageBreakBefore w:val="0"/>
                    <w:widowControl w:val="0"/>
                    <w:shd w:val="clear"/>
                    <w:kinsoku/>
                    <w:wordWrap/>
                    <w:overflowPunct/>
                    <w:topLinePunct w:val="0"/>
                    <w:bidi w:val="0"/>
                    <w:adjustRightInd w:val="0"/>
                    <w:spacing w:line="240" w:lineRule="auto"/>
                    <w:ind w:firstLine="0" w:firstLineChars="0"/>
                    <w:jc w:val="center"/>
                    <w:rPr>
                      <w:rFonts w:hint="eastAsia"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NO</w:t>
                  </w:r>
                  <w:r>
                    <w:rPr>
                      <w:rFonts w:hint="eastAsia" w:ascii="Times New Roman" w:hAnsi="Times New Roman" w:eastAsia="宋体" w:cs="宋体"/>
                      <w:caps w:val="0"/>
                      <w:color w:val="auto"/>
                      <w:sz w:val="21"/>
                      <w:szCs w:val="21"/>
                      <w:highlight w:val="none"/>
                      <w:vertAlign w:val="subscript"/>
                      <w:lang w:val="en-US" w:eastAsia="zh-CN"/>
                    </w:rPr>
                    <w:t>X</w:t>
                  </w:r>
                </w:p>
              </w:tc>
              <w:tc>
                <w:tcPr>
                  <w:tcW w:w="1729" w:type="pct"/>
                  <w:tcBorders>
                    <w:tl2br w:val="nil"/>
                    <w:tr2bl w:val="nil"/>
                  </w:tcBorders>
                  <w:noWrap w:val="0"/>
                  <w:vAlign w:val="center"/>
                </w:tcPr>
                <w:p w14:paraId="75B9899D">
                  <w:pPr>
                    <w:keepNext w:val="0"/>
                    <w:keepLines w:val="0"/>
                    <w:pageBreakBefore w:val="0"/>
                    <w:widowControl w:val="0"/>
                    <w:shd w:val="clear"/>
                    <w:kinsoku/>
                    <w:wordWrap/>
                    <w:overflowPunct/>
                    <w:topLinePunct w:val="0"/>
                    <w:bidi w:val="0"/>
                    <w:adjustRightInd w:val="0"/>
                    <w:spacing w:line="240" w:lineRule="auto"/>
                    <w:ind w:firstLine="0" w:firstLineChars="0"/>
                    <w:jc w:val="center"/>
                    <w:textAlignment w:val="center"/>
                    <w:rPr>
                      <w:rFonts w:hint="default" w:ascii="Times New Roman" w:hAnsi="Times New Roman" w:eastAsia="宋体" w:cs="宋体"/>
                      <w:caps w:val="0"/>
                      <w:color w:val="auto"/>
                      <w:kern w:val="0"/>
                      <w:sz w:val="21"/>
                      <w:szCs w:val="21"/>
                      <w:highlight w:val="none"/>
                      <w:lang w:val="en-US" w:eastAsia="zh-CN"/>
                    </w:rPr>
                  </w:pPr>
                  <w:r>
                    <w:rPr>
                      <w:rFonts w:hint="eastAsia" w:ascii="Times New Roman" w:hAnsi="Times New Roman" w:cs="宋体"/>
                      <w:caps w:val="0"/>
                      <w:color w:val="auto"/>
                      <w:kern w:val="0"/>
                      <w:sz w:val="21"/>
                      <w:szCs w:val="21"/>
                      <w:highlight w:val="none"/>
                      <w:lang w:val="en-US" w:eastAsia="zh-CN"/>
                    </w:rPr>
                    <w:t>0.689</w:t>
                  </w:r>
                </w:p>
              </w:tc>
            </w:tr>
          </w:tbl>
          <w:p w14:paraId="28DD7DA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宋体"/>
                <w:b/>
                <w:bCs/>
                <w:caps w:val="0"/>
                <w:sz w:val="24"/>
                <w:highlight w:val="none"/>
                <w:lang w:val="en-US" w:eastAsia="zh-CN"/>
              </w:rPr>
            </w:pPr>
            <w:r>
              <w:rPr>
                <w:rFonts w:hint="eastAsia" w:ascii="Times New Roman" w:hAnsi="Times New Roman" w:eastAsia="宋体" w:cs="宋体"/>
                <w:b/>
                <w:bCs/>
                <w:caps w:val="0"/>
                <w:sz w:val="24"/>
                <w:highlight w:val="none"/>
                <w:lang w:val="en-US" w:eastAsia="zh-CN"/>
              </w:rPr>
              <w:t>4.现有工程存在环境问题及改进措施</w:t>
            </w:r>
          </w:p>
          <w:p w14:paraId="4DA54C8C">
            <w:pPr>
              <w:keepNext w:val="0"/>
              <w:keepLines w:val="0"/>
              <w:pageBreakBefore w:val="0"/>
              <w:kinsoku/>
              <w:wordWrap/>
              <w:overflowPunct/>
              <w:topLinePunct w:val="0"/>
              <w:autoSpaceDE/>
              <w:autoSpaceDN/>
              <w:bidi w:val="0"/>
              <w:adjustRightInd w:val="0"/>
              <w:snapToGrid w:val="0"/>
              <w:spacing w:line="360" w:lineRule="auto"/>
              <w:ind w:left="0" w:leftChars="0" w:right="0"/>
              <w:textAlignment w:val="auto"/>
              <w:rPr>
                <w:rFonts w:hint="default" w:ascii="Times New Roman" w:hAnsi="Times New Roman" w:eastAsia="宋体" w:cs="宋体"/>
                <w:caps w:val="0"/>
                <w:highlight w:val="none"/>
                <w:lang w:val="en-US" w:eastAsia="zh-CN"/>
              </w:rPr>
            </w:pPr>
            <w:r>
              <w:rPr>
                <w:rFonts w:hint="eastAsia" w:ascii="Times New Roman" w:hAnsi="Times New Roman" w:eastAsia="宋体" w:cs="宋体"/>
                <w:caps w:val="0"/>
                <w:highlight w:val="none"/>
                <w:lang w:val="en-US" w:eastAsia="zh-CN"/>
              </w:rPr>
              <w:t>1.现有环境问题：现有工程</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highlight w:val="none"/>
                <w:lang w:val="en-US" w:eastAsia="zh-CN"/>
              </w:rPr>
              <w:t>为0.</w:t>
            </w:r>
            <w:r>
              <w:rPr>
                <w:rFonts w:hint="eastAsia" w:ascii="Times New Roman" w:hAnsi="Times New Roman" w:cs="宋体"/>
                <w:caps w:val="0"/>
                <w:highlight w:val="none"/>
                <w:lang w:val="en-US" w:eastAsia="zh-CN"/>
              </w:rPr>
              <w:t>6</w:t>
            </w:r>
            <w:r>
              <w:rPr>
                <w:rFonts w:hint="eastAsia" w:ascii="Times New Roman" w:hAnsi="Times New Roman" w:eastAsia="宋体" w:cs="宋体"/>
                <w:caps w:val="0"/>
                <w:highlight w:val="none"/>
                <w:lang w:val="en-US" w:eastAsia="zh-CN"/>
              </w:rPr>
              <w:t>t/h生物质</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highlight w:val="none"/>
                <w:lang w:val="en-US" w:eastAsia="zh-CN"/>
              </w:rPr>
              <w:t>，属于2t/h以下生物质锅炉，属于淘汰类，不符合产业政策 。</w:t>
            </w:r>
            <w:r>
              <w:rPr>
                <w:rFonts w:hint="eastAsia" w:ascii="Times New Roman" w:hAnsi="Times New Roman" w:cs="宋体"/>
                <w:caps w:val="0"/>
                <w:highlight w:val="none"/>
                <w:lang w:val="en-US" w:eastAsia="zh-CN"/>
              </w:rPr>
              <w:t>根据鸡西市燎盛新材料科技有限公司提供实际运行情况，实际生产不处于满负荷运行，运行投产至今未产生废导热油，不存在废导热油的暂存与去向问题。</w:t>
            </w:r>
          </w:p>
          <w:p w14:paraId="4FD82577">
            <w:pPr>
              <w:keepNext w:val="0"/>
              <w:keepLines w:val="0"/>
              <w:pageBreakBefore w:val="0"/>
              <w:kinsoku/>
              <w:wordWrap/>
              <w:overflowPunct/>
              <w:topLinePunct w:val="0"/>
              <w:autoSpaceDE/>
              <w:autoSpaceDN/>
              <w:bidi w:val="0"/>
              <w:adjustRightInd w:val="0"/>
              <w:snapToGrid w:val="0"/>
              <w:spacing w:line="360" w:lineRule="auto"/>
              <w:ind w:left="0" w:leftChars="0" w:right="0"/>
              <w:textAlignment w:val="auto"/>
              <w:rPr>
                <w:rFonts w:hint="default" w:ascii="Times New Roman" w:hAnsi="Times New Roman" w:eastAsia="宋体" w:cs="宋体"/>
                <w:caps w:val="0"/>
                <w:highlight w:val="none"/>
                <w:lang w:val="en-US" w:eastAsia="zh-CN"/>
              </w:rPr>
            </w:pPr>
            <w:r>
              <w:rPr>
                <w:rFonts w:hint="eastAsia" w:ascii="Times New Roman" w:hAnsi="Times New Roman" w:eastAsia="宋体" w:cs="宋体"/>
                <w:caps w:val="0"/>
                <w:highlight w:val="none"/>
                <w:lang w:val="en-US" w:eastAsia="zh-CN"/>
              </w:rPr>
              <w:t>2改进措施：本项目的建设将拆除现有生物质</w:t>
            </w:r>
            <w:r>
              <w:rPr>
                <w:rFonts w:hint="eastAsia" w:ascii="Times New Roman" w:hAnsi="Times New Roman" w:cs="宋体"/>
                <w:caps w:val="0"/>
                <w:highlight w:val="none"/>
                <w:lang w:val="en-US" w:eastAsia="zh-CN"/>
              </w:rPr>
              <w:t>燃烧器</w:t>
            </w:r>
            <w:r>
              <w:rPr>
                <w:rFonts w:hint="eastAsia" w:ascii="Times New Roman" w:hAnsi="Times New Roman" w:eastAsia="宋体" w:cs="宋体"/>
                <w:caps w:val="0"/>
                <w:highlight w:val="none"/>
                <w:lang w:val="en-US" w:eastAsia="zh-CN"/>
              </w:rPr>
              <w:t>，</w:t>
            </w:r>
            <w:r>
              <w:rPr>
                <w:rFonts w:hint="eastAsia" w:ascii="Times New Roman" w:hAnsi="Times New Roman" w:cs="宋体"/>
                <w:caps w:val="0"/>
                <w:highlight w:val="none"/>
                <w:lang w:val="en-US" w:eastAsia="zh-CN"/>
              </w:rPr>
              <w:t>改造为燃油燃烧器，将0.6t/h生物质</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cs="宋体"/>
                <w:caps w:val="0"/>
                <w:highlight w:val="none"/>
                <w:lang w:val="en-US" w:eastAsia="zh-CN"/>
              </w:rPr>
              <w:t>改造为0.35MW的燃油</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highlight w:val="none"/>
                <w:lang w:val="en-US" w:eastAsia="zh-CN"/>
              </w:rPr>
              <w:t>。</w:t>
            </w:r>
          </w:p>
        </w:tc>
      </w:tr>
    </w:tbl>
    <w:p w14:paraId="5BE1FF82">
      <w:pPr>
        <w:pStyle w:val="32"/>
        <w:rPr>
          <w:rFonts w:hint="eastAsia" w:ascii="Times New Roman" w:hAnsi="Times New Roman" w:eastAsia="宋体" w:cs="宋体"/>
          <w:caps w:val="0"/>
          <w:snapToGrid w:val="0"/>
          <w:color w:val="FF0000"/>
          <w:spacing w:val="0"/>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4503D8C1">
      <w:pPr>
        <w:pStyle w:val="7"/>
        <w:spacing w:line="360" w:lineRule="auto"/>
        <w:jc w:val="center"/>
        <w:rPr>
          <w:rFonts w:hint="eastAsia" w:ascii="Times New Roman" w:hAnsi="Times New Roman" w:eastAsia="宋体" w:cs="宋体"/>
          <w:bCs w:val="0"/>
          <w:caps w:val="0"/>
          <w:spacing w:val="0"/>
          <w:highlight w:val="none"/>
        </w:rPr>
      </w:pPr>
      <w:bookmarkStart w:id="7" w:name="_Toc71191477"/>
      <w:bookmarkStart w:id="8" w:name="_Toc8217"/>
      <w:bookmarkStart w:id="9" w:name="_Toc71191479"/>
      <w:bookmarkStart w:id="10" w:name="_Toc71191478"/>
      <w:r>
        <w:rPr>
          <w:rFonts w:hint="eastAsia" w:ascii="Times New Roman" w:hAnsi="Times New Roman" w:eastAsia="宋体" w:cs="宋体"/>
          <w:bCs w:val="0"/>
          <w:caps w:val="0"/>
          <w:spacing w:val="0"/>
          <w:highlight w:val="none"/>
        </w:rPr>
        <w:t>三、区域环境质量现状、环境保护目标及评价标准</w:t>
      </w:r>
      <w:bookmarkEnd w:id="7"/>
      <w:bookmarkEnd w:id="8"/>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074"/>
      </w:tblGrid>
      <w:tr w14:paraId="2D499E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542" w:type="dxa"/>
            <w:noWrap w:val="0"/>
            <w:vAlign w:val="center"/>
          </w:tcPr>
          <w:p w14:paraId="1B33C1AC">
            <w:pPr>
              <w:spacing w:line="240" w:lineRule="auto"/>
              <w:ind w:firstLine="0" w:firstLineChars="0"/>
              <w:jc w:val="center"/>
              <w:rPr>
                <w:rFonts w:hint="eastAsia" w:ascii="Times New Roman" w:hAnsi="Times New Roman" w:eastAsia="宋体" w:cs="宋体"/>
                <w:caps w:val="0"/>
                <w:spacing w:val="0"/>
                <w:kern w:val="0"/>
                <w:highlight w:val="none"/>
              </w:rPr>
            </w:pPr>
            <w:r>
              <w:rPr>
                <w:rFonts w:hint="eastAsia" w:ascii="Times New Roman" w:hAnsi="Times New Roman" w:eastAsia="宋体" w:cs="宋体"/>
                <w:caps w:val="0"/>
                <w:spacing w:val="0"/>
                <w:kern w:val="0"/>
                <w:highlight w:val="none"/>
              </w:rPr>
              <w:t>区域</w:t>
            </w:r>
          </w:p>
          <w:p w14:paraId="7566AFAA">
            <w:pPr>
              <w:spacing w:line="240" w:lineRule="auto"/>
              <w:ind w:firstLine="0" w:firstLineChars="0"/>
              <w:jc w:val="center"/>
              <w:rPr>
                <w:rFonts w:hint="eastAsia" w:ascii="Times New Roman" w:hAnsi="Times New Roman" w:eastAsia="宋体" w:cs="宋体"/>
                <w:caps w:val="0"/>
                <w:spacing w:val="0"/>
                <w:kern w:val="0"/>
                <w:highlight w:val="none"/>
              </w:rPr>
            </w:pPr>
            <w:r>
              <w:rPr>
                <w:rFonts w:hint="eastAsia" w:ascii="Times New Roman" w:hAnsi="Times New Roman" w:eastAsia="宋体" w:cs="宋体"/>
                <w:caps w:val="0"/>
                <w:spacing w:val="0"/>
                <w:kern w:val="0"/>
                <w:highlight w:val="none"/>
              </w:rPr>
              <w:t>环境</w:t>
            </w:r>
          </w:p>
          <w:p w14:paraId="7FB09A04">
            <w:pPr>
              <w:spacing w:line="240" w:lineRule="auto"/>
              <w:ind w:firstLine="0" w:firstLineChars="0"/>
              <w:jc w:val="center"/>
              <w:rPr>
                <w:rFonts w:hint="eastAsia" w:ascii="Times New Roman" w:hAnsi="Times New Roman" w:eastAsia="宋体" w:cs="宋体"/>
                <w:caps w:val="0"/>
                <w:spacing w:val="0"/>
                <w:kern w:val="0"/>
                <w:highlight w:val="none"/>
              </w:rPr>
            </w:pPr>
            <w:r>
              <w:rPr>
                <w:rFonts w:hint="eastAsia" w:ascii="Times New Roman" w:hAnsi="Times New Roman" w:eastAsia="宋体" w:cs="宋体"/>
                <w:caps w:val="0"/>
                <w:spacing w:val="0"/>
                <w:kern w:val="0"/>
                <w:highlight w:val="none"/>
              </w:rPr>
              <w:t>质量</w:t>
            </w:r>
          </w:p>
          <w:p w14:paraId="43044CF8">
            <w:pPr>
              <w:spacing w:line="240" w:lineRule="auto"/>
              <w:ind w:firstLine="0" w:firstLineChars="0"/>
              <w:jc w:val="center"/>
              <w:rPr>
                <w:rFonts w:hint="eastAsia" w:ascii="Times New Roman" w:hAnsi="Times New Roman" w:eastAsia="宋体" w:cs="宋体"/>
                <w:caps w:val="0"/>
                <w:color w:val="FF0000"/>
                <w:spacing w:val="0"/>
                <w:kern w:val="0"/>
                <w:highlight w:val="none"/>
              </w:rPr>
            </w:pPr>
            <w:r>
              <w:rPr>
                <w:rFonts w:hint="eastAsia" w:ascii="Times New Roman" w:hAnsi="Times New Roman" w:eastAsia="宋体" w:cs="宋体"/>
                <w:caps w:val="0"/>
                <w:spacing w:val="0"/>
                <w:kern w:val="0"/>
                <w:highlight w:val="none"/>
              </w:rPr>
              <w:t>现状</w:t>
            </w:r>
          </w:p>
        </w:tc>
        <w:tc>
          <w:tcPr>
            <w:tcW w:w="7987" w:type="dxa"/>
            <w:noWrap w:val="0"/>
            <w:vAlign w:val="center"/>
          </w:tcPr>
          <w:p w14:paraId="58DCA7D5">
            <w:pPr>
              <w:ind w:left="0" w:leftChars="0" w:firstLine="0" w:firstLineChars="0"/>
              <w:rPr>
                <w:rFonts w:hint="eastAsia" w:ascii="Times New Roman" w:hAnsi="Times New Roman" w:eastAsia="宋体" w:cs="宋体"/>
                <w:b/>
                <w:bCs w:val="0"/>
                <w:caps w:val="0"/>
                <w:color w:val="auto"/>
                <w:spacing w:val="0"/>
                <w:sz w:val="24"/>
                <w:szCs w:val="24"/>
                <w:highlight w:val="none"/>
                <w:lang w:val="en-US" w:eastAsia="zh-CN"/>
              </w:rPr>
            </w:pPr>
            <w:r>
              <w:rPr>
                <w:rFonts w:hint="eastAsia" w:ascii="Times New Roman" w:hAnsi="Times New Roman" w:eastAsia="宋体" w:cs="宋体"/>
                <w:b/>
                <w:bCs w:val="0"/>
                <w:caps w:val="0"/>
                <w:color w:val="auto"/>
                <w:spacing w:val="0"/>
                <w:sz w:val="24"/>
                <w:szCs w:val="24"/>
                <w:highlight w:val="none"/>
                <w:lang w:val="en-US" w:eastAsia="zh-CN"/>
              </w:rPr>
              <w:t>1.环境空气质量现状</w:t>
            </w:r>
          </w:p>
          <w:p w14:paraId="620D3D8C">
            <w:pPr>
              <w:pStyle w:val="114"/>
              <w:spacing w:line="360" w:lineRule="auto"/>
              <w:ind w:firstLine="420"/>
              <w:rPr>
                <w:rFonts w:hint="eastAsia" w:ascii="Times New Roman" w:hAnsi="Times New Roman" w:eastAsia="宋体" w:cs="宋体"/>
                <w:caps w:val="0"/>
                <w:color w:val="auto"/>
                <w:spacing w:val="0"/>
                <w:highlight w:val="none"/>
                <w:lang w:val="en-US"/>
              </w:rPr>
            </w:pPr>
            <w:r>
              <w:rPr>
                <w:rFonts w:hint="eastAsia" w:ascii="Times New Roman" w:hAnsi="Times New Roman" w:eastAsia="宋体" w:cs="宋体"/>
                <w:caps w:val="0"/>
                <w:color w:val="auto"/>
                <w:spacing w:val="0"/>
                <w:highlight w:val="none"/>
                <w:lang w:val="en-US" w:eastAsia="zh-CN"/>
              </w:rPr>
              <w:t>（1</w:t>
            </w:r>
            <w:r>
              <w:rPr>
                <w:rFonts w:hint="eastAsia" w:ascii="Times New Roman" w:hAnsi="Times New Roman" w:eastAsia="宋体" w:cs="宋体"/>
                <w:caps w:val="0"/>
                <w:color w:val="auto"/>
                <w:spacing w:val="0"/>
                <w:highlight w:val="none"/>
                <w:lang w:eastAsia="zh-CN"/>
              </w:rPr>
              <w:t>）</w:t>
            </w:r>
            <w:r>
              <w:rPr>
                <w:rFonts w:hint="eastAsia" w:ascii="Times New Roman" w:hAnsi="Times New Roman" w:eastAsia="宋体" w:cs="宋体"/>
                <w:caps w:val="0"/>
                <w:color w:val="auto"/>
                <w:spacing w:val="0"/>
                <w:highlight w:val="none"/>
                <w:lang w:val="en-US" w:eastAsia="zh-CN"/>
              </w:rPr>
              <w:t>基本污染物</w:t>
            </w:r>
          </w:p>
          <w:p w14:paraId="427EA202">
            <w:pPr>
              <w:keepNext w:val="0"/>
              <w:keepLines w:val="0"/>
              <w:widowControl/>
              <w:suppressLineNumbers w:val="0"/>
              <w:jc w:val="left"/>
              <w:rPr>
                <w:rFonts w:hint="default" w:ascii="Times New Roman" w:hAnsi="Times New Roman" w:eastAsia="宋体" w:cs="Times New Roman"/>
                <w:caps w:val="0"/>
                <w:color w:val="auto"/>
                <w:sz w:val="24"/>
                <w:szCs w:val="24"/>
                <w:highlight w:val="none"/>
              </w:rPr>
            </w:pPr>
            <w:r>
              <w:rPr>
                <w:rFonts w:hint="default" w:ascii="Times New Roman" w:hAnsi="Times New Roman" w:eastAsia="宋体" w:cs="Times New Roman"/>
                <w:caps w:val="0"/>
                <w:color w:val="auto"/>
                <w:sz w:val="24"/>
                <w:szCs w:val="24"/>
                <w:highlight w:val="none"/>
              </w:rPr>
              <w:t>根据《</w:t>
            </w:r>
            <w:r>
              <w:rPr>
                <w:rFonts w:hint="default" w:ascii="Times New Roman" w:hAnsi="Times New Roman" w:eastAsia="宋体" w:cs="Times New Roman"/>
                <w:caps w:val="0"/>
                <w:color w:val="auto"/>
                <w:sz w:val="24"/>
                <w:szCs w:val="24"/>
                <w:highlight w:val="none"/>
                <w:lang w:eastAsia="zh-CN"/>
              </w:rPr>
              <w:t>2025年黑龙江省生态环境质量状况</w:t>
            </w:r>
            <w:r>
              <w:rPr>
                <w:rFonts w:hint="default" w:ascii="Times New Roman" w:hAnsi="Times New Roman" w:eastAsia="宋体" w:cs="Times New Roman"/>
                <w:caps w:val="0"/>
                <w:color w:val="auto"/>
                <w:sz w:val="24"/>
                <w:szCs w:val="24"/>
                <w:highlight w:val="none"/>
              </w:rPr>
              <w:t>》，</w:t>
            </w:r>
            <w:r>
              <w:rPr>
                <w:rFonts w:hint="default" w:ascii="Times New Roman" w:hAnsi="Times New Roman" w:eastAsia="宋体" w:cs="Times New Roman"/>
                <w:bCs/>
                <w:color w:val="231F20"/>
                <w:kern w:val="0"/>
                <w:sz w:val="24"/>
                <w:szCs w:val="24"/>
                <w:highlight w:val="none"/>
                <w:lang w:val="en-US" w:eastAsia="zh-CN" w:bidi="ar"/>
              </w:rPr>
              <w:t>鸡西市空气质量级别达二级标准，达标天数为350天(95.9%)。PM</w:t>
            </w:r>
            <w:r>
              <w:rPr>
                <w:rFonts w:hint="default" w:ascii="Times New Roman" w:hAnsi="Times New Roman" w:eastAsia="宋体" w:cs="Times New Roman"/>
                <w:bCs/>
                <w:color w:val="231F20"/>
                <w:kern w:val="0"/>
                <w:sz w:val="24"/>
                <w:szCs w:val="24"/>
                <w:highlight w:val="none"/>
                <w:vertAlign w:val="subscript"/>
                <w:lang w:val="en-US" w:eastAsia="zh-CN" w:bidi="ar"/>
              </w:rPr>
              <w:t>2.5</w:t>
            </w:r>
            <w:r>
              <w:rPr>
                <w:rFonts w:hint="default" w:ascii="Times New Roman" w:hAnsi="Times New Roman" w:eastAsia="宋体" w:cs="Times New Roman"/>
                <w:bCs/>
                <w:color w:val="231F20"/>
                <w:kern w:val="0"/>
                <w:sz w:val="24"/>
                <w:szCs w:val="24"/>
                <w:highlight w:val="none"/>
                <w:lang w:val="en-US" w:eastAsia="zh-CN" w:bidi="ar"/>
              </w:rPr>
              <w:t>、PM</w:t>
            </w:r>
            <w:r>
              <w:rPr>
                <w:rFonts w:hint="default" w:ascii="Times New Roman" w:hAnsi="Times New Roman" w:eastAsia="宋体" w:cs="Times New Roman"/>
                <w:bCs/>
                <w:color w:val="231F20"/>
                <w:kern w:val="0"/>
                <w:sz w:val="24"/>
                <w:szCs w:val="24"/>
                <w:highlight w:val="none"/>
                <w:vertAlign w:val="subscript"/>
                <w:lang w:val="en-US" w:eastAsia="zh-CN" w:bidi="ar"/>
              </w:rPr>
              <w:t>10</w:t>
            </w:r>
            <w:r>
              <w:rPr>
                <w:rFonts w:hint="default" w:ascii="Times New Roman" w:hAnsi="Times New Roman" w:eastAsia="宋体" w:cs="Times New Roman"/>
                <w:bCs/>
                <w:color w:val="231F20"/>
                <w:kern w:val="0"/>
                <w:sz w:val="24"/>
                <w:szCs w:val="24"/>
                <w:highlight w:val="none"/>
                <w:lang w:val="en-US" w:eastAsia="zh-CN" w:bidi="ar"/>
              </w:rPr>
              <w:t>、SO</w:t>
            </w:r>
            <w:r>
              <w:rPr>
                <w:rFonts w:hint="default" w:ascii="Times New Roman" w:hAnsi="Times New Roman" w:eastAsia="宋体" w:cs="Times New Roman"/>
                <w:bCs/>
                <w:color w:val="231F20"/>
                <w:kern w:val="0"/>
                <w:sz w:val="24"/>
                <w:szCs w:val="24"/>
                <w:highlight w:val="none"/>
                <w:vertAlign w:val="subscript"/>
                <w:lang w:val="en-US" w:eastAsia="zh-CN" w:bidi="ar"/>
              </w:rPr>
              <w:t>2</w:t>
            </w:r>
            <w:r>
              <w:rPr>
                <w:rFonts w:hint="default" w:ascii="Times New Roman" w:hAnsi="Times New Roman" w:eastAsia="宋体" w:cs="Times New Roman"/>
                <w:bCs/>
                <w:color w:val="231F20"/>
                <w:kern w:val="0"/>
                <w:sz w:val="24"/>
                <w:szCs w:val="24"/>
                <w:highlight w:val="none"/>
                <w:lang w:val="en-US" w:eastAsia="zh-CN" w:bidi="ar"/>
              </w:rPr>
              <w:t>、NO</w:t>
            </w:r>
            <w:r>
              <w:rPr>
                <w:rFonts w:hint="default" w:ascii="Times New Roman" w:hAnsi="Times New Roman" w:eastAsia="宋体" w:cs="Times New Roman"/>
                <w:bCs/>
                <w:color w:val="231F20"/>
                <w:kern w:val="0"/>
                <w:sz w:val="24"/>
                <w:szCs w:val="24"/>
                <w:highlight w:val="none"/>
                <w:vertAlign w:val="subscript"/>
                <w:lang w:val="en-US" w:eastAsia="zh-CN" w:bidi="ar"/>
              </w:rPr>
              <w:t>2</w:t>
            </w:r>
            <w:r>
              <w:rPr>
                <w:rFonts w:hint="default" w:ascii="Times New Roman" w:hAnsi="Times New Roman" w:eastAsia="宋体" w:cs="Times New Roman"/>
                <w:bCs/>
                <w:color w:val="231F20"/>
                <w:kern w:val="0"/>
                <w:sz w:val="24"/>
                <w:szCs w:val="24"/>
                <w:highlight w:val="none"/>
                <w:lang w:val="en-US" w:eastAsia="zh-CN" w:bidi="ar"/>
              </w:rPr>
              <w:t>、CO-95per和O</w:t>
            </w:r>
            <w:r>
              <w:rPr>
                <w:rFonts w:hint="default" w:ascii="Times New Roman" w:hAnsi="Times New Roman" w:eastAsia="宋体" w:cs="Times New Roman"/>
                <w:bCs/>
                <w:color w:val="231F20"/>
                <w:kern w:val="0"/>
                <w:sz w:val="24"/>
                <w:szCs w:val="24"/>
                <w:highlight w:val="none"/>
                <w:vertAlign w:val="subscript"/>
                <w:lang w:val="en-US" w:eastAsia="zh-CN" w:bidi="ar"/>
              </w:rPr>
              <w:t>3</w:t>
            </w:r>
            <w:r>
              <w:rPr>
                <w:rFonts w:hint="default" w:ascii="Times New Roman" w:hAnsi="Times New Roman" w:eastAsia="宋体" w:cs="Times New Roman"/>
                <w:bCs/>
                <w:color w:val="231F20"/>
                <w:kern w:val="0"/>
                <w:sz w:val="24"/>
                <w:szCs w:val="24"/>
                <w:highlight w:val="none"/>
                <w:lang w:val="en-US" w:eastAsia="zh-CN" w:bidi="ar"/>
              </w:rPr>
              <w:t>-8h-90per年均浓度分别为26μg//m</w:t>
            </w:r>
            <w:r>
              <w:rPr>
                <w:rFonts w:hint="eastAsia" w:ascii="Times New Roman" w:hAnsi="Times New Roman" w:eastAsia="宋体" w:cs="Times New Roman"/>
                <w:bCs/>
                <w:color w:val="231F20"/>
                <w:kern w:val="0"/>
                <w:sz w:val="24"/>
                <w:szCs w:val="24"/>
                <w:highlight w:val="none"/>
                <w:vertAlign w:val="superscript"/>
                <w:lang w:val="en-US" w:eastAsia="zh-CN" w:bidi="ar"/>
              </w:rPr>
              <w:t>3</w:t>
            </w:r>
            <w:r>
              <w:rPr>
                <w:rFonts w:hint="default" w:ascii="Times New Roman" w:hAnsi="Times New Roman" w:eastAsia="宋体" w:cs="Times New Roman"/>
                <w:bCs/>
                <w:color w:val="231F20"/>
                <w:kern w:val="0"/>
                <w:sz w:val="24"/>
                <w:szCs w:val="24"/>
                <w:highlight w:val="none"/>
                <w:lang w:val="en-US" w:eastAsia="zh-CN" w:bidi="ar"/>
              </w:rPr>
              <w:t>、43μg//m</w:t>
            </w:r>
            <w:r>
              <w:rPr>
                <w:rFonts w:hint="eastAsia" w:ascii="Times New Roman" w:hAnsi="Times New Roman" w:eastAsia="宋体" w:cs="Times New Roman"/>
                <w:bCs/>
                <w:color w:val="231F20"/>
                <w:kern w:val="0"/>
                <w:sz w:val="24"/>
                <w:szCs w:val="24"/>
                <w:highlight w:val="none"/>
                <w:vertAlign w:val="superscript"/>
                <w:lang w:val="en-US" w:eastAsia="zh-CN" w:bidi="ar"/>
              </w:rPr>
              <w:t>3</w:t>
            </w:r>
            <w:r>
              <w:rPr>
                <w:rFonts w:hint="default" w:ascii="Times New Roman" w:hAnsi="Times New Roman" w:eastAsia="宋体" w:cs="Times New Roman"/>
                <w:bCs/>
                <w:color w:val="231F20"/>
                <w:kern w:val="0"/>
                <w:sz w:val="24"/>
                <w:szCs w:val="24"/>
                <w:highlight w:val="none"/>
                <w:lang w:val="en-US" w:eastAsia="zh-CN" w:bidi="ar"/>
              </w:rPr>
              <w:t>、8μg//m</w:t>
            </w:r>
            <w:r>
              <w:rPr>
                <w:rFonts w:hint="eastAsia" w:ascii="Times New Roman" w:hAnsi="Times New Roman" w:eastAsia="宋体" w:cs="Times New Roman"/>
                <w:bCs/>
                <w:color w:val="231F20"/>
                <w:kern w:val="0"/>
                <w:sz w:val="24"/>
                <w:szCs w:val="24"/>
                <w:highlight w:val="none"/>
                <w:vertAlign w:val="superscript"/>
                <w:lang w:val="en-US" w:eastAsia="zh-CN" w:bidi="ar"/>
              </w:rPr>
              <w:t>3</w:t>
            </w:r>
            <w:r>
              <w:rPr>
                <w:rFonts w:hint="default" w:ascii="Times New Roman" w:hAnsi="Times New Roman" w:eastAsia="宋体" w:cs="Times New Roman"/>
                <w:bCs/>
                <w:color w:val="231F20"/>
                <w:kern w:val="0"/>
                <w:sz w:val="24"/>
                <w:szCs w:val="24"/>
                <w:highlight w:val="none"/>
                <w:lang w:val="en-US" w:eastAsia="zh-CN" w:bidi="ar"/>
              </w:rPr>
              <w:t>、17μg/m</w:t>
            </w:r>
            <w:r>
              <w:rPr>
                <w:rFonts w:hint="eastAsia" w:ascii="Times New Roman" w:hAnsi="Times New Roman" w:eastAsia="宋体" w:cs="Times New Roman"/>
                <w:bCs/>
                <w:color w:val="231F20"/>
                <w:kern w:val="0"/>
                <w:sz w:val="24"/>
                <w:szCs w:val="24"/>
                <w:highlight w:val="none"/>
                <w:vertAlign w:val="superscript"/>
                <w:lang w:val="en-US" w:eastAsia="zh-CN" w:bidi="ar"/>
              </w:rPr>
              <w:t>3</w:t>
            </w:r>
            <w:r>
              <w:rPr>
                <w:rFonts w:hint="default" w:ascii="Times New Roman" w:hAnsi="Times New Roman" w:eastAsia="宋体" w:cs="Times New Roman"/>
                <w:bCs/>
                <w:color w:val="231F20"/>
                <w:kern w:val="0"/>
                <w:sz w:val="24"/>
                <w:szCs w:val="24"/>
                <w:highlight w:val="none"/>
                <w:lang w:val="en-US" w:eastAsia="zh-CN" w:bidi="ar"/>
              </w:rPr>
              <w:t>、0.9mg/m</w:t>
            </w:r>
            <w:r>
              <w:rPr>
                <w:rFonts w:hint="eastAsia" w:ascii="Times New Roman" w:hAnsi="Times New Roman" w:eastAsia="宋体" w:cs="Times New Roman"/>
                <w:bCs/>
                <w:color w:val="231F20"/>
                <w:kern w:val="0"/>
                <w:sz w:val="24"/>
                <w:szCs w:val="24"/>
                <w:highlight w:val="none"/>
                <w:vertAlign w:val="superscript"/>
                <w:lang w:val="en-US" w:eastAsia="zh-CN" w:bidi="ar"/>
              </w:rPr>
              <w:t>3</w:t>
            </w:r>
            <w:r>
              <w:rPr>
                <w:rFonts w:hint="default" w:ascii="Times New Roman" w:hAnsi="Times New Roman" w:eastAsia="宋体" w:cs="Times New Roman"/>
                <w:bCs/>
                <w:color w:val="231F20"/>
                <w:kern w:val="0"/>
                <w:sz w:val="24"/>
                <w:szCs w:val="24"/>
                <w:highlight w:val="none"/>
                <w:lang w:val="en-US" w:eastAsia="zh-CN" w:bidi="ar"/>
              </w:rPr>
              <w:t>和115μg/m</w:t>
            </w:r>
            <w:r>
              <w:rPr>
                <w:rFonts w:hint="eastAsia" w:ascii="Times New Roman" w:hAnsi="Times New Roman" w:eastAsia="宋体" w:cs="Times New Roman"/>
                <w:bCs/>
                <w:color w:val="231F20"/>
                <w:kern w:val="0"/>
                <w:sz w:val="24"/>
                <w:szCs w:val="24"/>
                <w:highlight w:val="none"/>
                <w:vertAlign w:val="superscript"/>
                <w:lang w:val="en-US" w:eastAsia="zh-CN" w:bidi="ar"/>
              </w:rPr>
              <w:t>3</w:t>
            </w:r>
            <w:r>
              <w:rPr>
                <w:rFonts w:hint="default" w:ascii="Times New Roman" w:hAnsi="Times New Roman" w:eastAsia="宋体" w:cs="Times New Roman"/>
                <w:bCs/>
                <w:color w:val="231F20"/>
                <w:kern w:val="0"/>
                <w:sz w:val="24"/>
                <w:szCs w:val="24"/>
                <w:highlight w:val="none"/>
                <w:lang w:val="en-US" w:eastAsia="zh-CN" w:bidi="ar"/>
              </w:rPr>
              <w:t>。</w:t>
            </w:r>
          </w:p>
          <w:p w14:paraId="71B17826">
            <w:pPr>
              <w:pStyle w:val="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Times New Roman" w:hAnsi="Times New Roman" w:eastAsia="宋体" w:cs="宋体"/>
                <w:iCs/>
                <w:caps w:val="0"/>
                <w:color w:val="auto"/>
                <w:kern w:val="2"/>
                <w:sz w:val="24"/>
                <w:szCs w:val="24"/>
                <w:highlight w:val="none"/>
                <w:lang w:val="en-US" w:eastAsia="zh-CN" w:bidi="ar-SA"/>
              </w:rPr>
            </w:pPr>
            <w:r>
              <w:rPr>
                <w:rFonts w:hint="eastAsia" w:ascii="Times New Roman" w:hAnsi="Times New Roman" w:eastAsia="宋体" w:cs="宋体"/>
                <w:iCs/>
                <w:caps w:val="0"/>
                <w:color w:val="auto"/>
                <w:kern w:val="2"/>
                <w:sz w:val="24"/>
                <w:szCs w:val="24"/>
                <w:highlight w:val="none"/>
                <w:lang w:val="en-US" w:eastAsia="zh-CN" w:bidi="ar-SA"/>
              </w:rPr>
              <w:t>环境空气监测数据见下表：</w:t>
            </w:r>
          </w:p>
          <w:p w14:paraId="02CF3525">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hint="eastAsia" w:ascii="Times New Roman" w:hAnsi="Times New Roman" w:eastAsia="宋体" w:cs="宋体"/>
                <w:b/>
                <w:bCs/>
                <w:caps w:val="0"/>
                <w:color w:val="auto"/>
                <w:spacing w:val="-2"/>
                <w:sz w:val="21"/>
                <w:szCs w:val="21"/>
                <w:highlight w:val="none"/>
                <w:lang w:val="en-US" w:eastAsia="zh-CN"/>
              </w:rPr>
              <w:t>表</w:t>
            </w:r>
            <w:r>
              <w:rPr>
                <w:rFonts w:hint="default" w:ascii="Times New Roman" w:hAnsi="Times New Roman" w:eastAsia="宋体" w:cs="宋体"/>
                <w:b/>
                <w:bCs/>
                <w:caps w:val="0"/>
                <w:color w:val="auto"/>
                <w:spacing w:val="-2"/>
                <w:sz w:val="21"/>
                <w:szCs w:val="21"/>
                <w:highlight w:val="none"/>
                <w:lang w:val="en-US" w:eastAsia="zh-CN"/>
              </w:rPr>
              <w:t>3-1</w:t>
            </w:r>
            <w:r>
              <w:rPr>
                <w:rFonts w:hint="eastAsia" w:ascii="Times New Roman" w:hAnsi="Times New Roman" w:eastAsia="宋体" w:cs="宋体"/>
                <w:b/>
                <w:bCs/>
                <w:caps w:val="0"/>
                <w:color w:val="auto"/>
                <w:spacing w:val="-2"/>
                <w:sz w:val="21"/>
                <w:szCs w:val="21"/>
                <w:highlight w:val="none"/>
                <w:lang w:val="en-US" w:eastAsia="zh-CN"/>
              </w:rPr>
              <w:t xml:space="preserve">    </w:t>
            </w:r>
            <w:r>
              <w:rPr>
                <w:rFonts w:ascii="Times New Roman" w:hAnsi="Times New Roman" w:eastAsia="宋体" w:cs="宋体"/>
                <w:b/>
                <w:bCs/>
                <w:caps w:val="0"/>
                <w:color w:val="auto"/>
                <w:spacing w:val="-2"/>
                <w:sz w:val="21"/>
                <w:szCs w:val="21"/>
                <w:highlight w:val="none"/>
              </w:rPr>
              <w:t>区域空气质量现状评价表</w:t>
            </w:r>
          </w:p>
          <w:tbl>
            <w:tblPr>
              <w:tblStyle w:val="148"/>
              <w:tblW w:w="49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69"/>
              <w:gridCol w:w="2275"/>
              <w:gridCol w:w="1270"/>
              <w:gridCol w:w="1270"/>
              <w:gridCol w:w="1064"/>
              <w:gridCol w:w="1104"/>
            </w:tblGrid>
            <w:tr w14:paraId="55EC9E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0" w:type="dxa"/>
                  <w:tcBorders>
                    <w:tl2br w:val="nil"/>
                    <w:tr2bl w:val="nil"/>
                  </w:tcBorders>
                  <w:vAlign w:val="center"/>
                </w:tcPr>
                <w:p w14:paraId="345E0912">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6"/>
                      <w:sz w:val="21"/>
                      <w:szCs w:val="21"/>
                      <w:highlight w:val="none"/>
                    </w:rPr>
                    <w:t>污染物</w:t>
                  </w:r>
                </w:p>
              </w:tc>
              <w:tc>
                <w:tcPr>
                  <w:tcW w:w="2250" w:type="dxa"/>
                  <w:tcBorders>
                    <w:tl2br w:val="nil"/>
                    <w:tr2bl w:val="nil"/>
                  </w:tcBorders>
                  <w:vAlign w:val="center"/>
                </w:tcPr>
                <w:p w14:paraId="790E7C96">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7"/>
                      <w:sz w:val="21"/>
                      <w:szCs w:val="21"/>
                      <w:highlight w:val="none"/>
                    </w:rPr>
                    <w:t>年评价指标</w:t>
                  </w:r>
                </w:p>
              </w:tc>
              <w:tc>
                <w:tcPr>
                  <w:tcW w:w="1256" w:type="dxa"/>
                  <w:tcBorders>
                    <w:tl2br w:val="nil"/>
                    <w:tr2bl w:val="nil"/>
                  </w:tcBorders>
                  <w:vAlign w:val="center"/>
                </w:tcPr>
                <w:p w14:paraId="638E1029">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6"/>
                      <w:sz w:val="21"/>
                      <w:szCs w:val="21"/>
                      <w:highlight w:val="none"/>
                    </w:rPr>
                    <w:t>现状浓度</w:t>
                  </w:r>
                </w:p>
                <w:p w14:paraId="3870EEF3">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2"/>
                      <w:sz w:val="21"/>
                      <w:szCs w:val="21"/>
                      <w:highlight w:val="none"/>
                    </w:rPr>
                    <w:t>(μg/m</w:t>
                  </w:r>
                  <w:r>
                    <w:rPr>
                      <w:rFonts w:hint="eastAsia" w:ascii="Times New Roman" w:hAnsi="Times New Roman" w:eastAsia="宋体" w:cs="宋体"/>
                      <w:caps w:val="0"/>
                      <w:color w:val="auto"/>
                      <w:spacing w:val="2"/>
                      <w:sz w:val="21"/>
                      <w:szCs w:val="21"/>
                      <w:highlight w:val="none"/>
                      <w:vertAlign w:val="superscript"/>
                      <w:lang w:val="en-US" w:eastAsia="zh-CN"/>
                    </w:rPr>
                    <w:t>3</w:t>
                  </w:r>
                  <w:r>
                    <w:rPr>
                      <w:rFonts w:hint="eastAsia" w:ascii="Times New Roman" w:hAnsi="Times New Roman" w:eastAsia="宋体" w:cs="宋体"/>
                      <w:caps w:val="0"/>
                      <w:color w:val="auto"/>
                      <w:spacing w:val="2"/>
                      <w:position w:val="6"/>
                      <w:sz w:val="21"/>
                      <w:szCs w:val="21"/>
                      <w:highlight w:val="none"/>
                      <w:lang w:eastAsia="zh-CN"/>
                    </w:rPr>
                    <w:t>)</w:t>
                  </w:r>
                </w:p>
              </w:tc>
              <w:tc>
                <w:tcPr>
                  <w:tcW w:w="1256" w:type="dxa"/>
                  <w:tcBorders>
                    <w:tl2br w:val="nil"/>
                    <w:tr2bl w:val="nil"/>
                  </w:tcBorders>
                  <w:vAlign w:val="center"/>
                </w:tcPr>
                <w:p w14:paraId="3DE953BE">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6"/>
                      <w:sz w:val="21"/>
                      <w:szCs w:val="21"/>
                      <w:highlight w:val="none"/>
                    </w:rPr>
                    <w:t>标准值</w:t>
                  </w:r>
                </w:p>
                <w:p w14:paraId="5F8CA706">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2"/>
                      <w:sz w:val="21"/>
                      <w:szCs w:val="21"/>
                      <w:highlight w:val="none"/>
                    </w:rPr>
                    <w:t>(μg/m</w:t>
                  </w:r>
                  <w:r>
                    <w:rPr>
                      <w:rFonts w:hint="eastAsia" w:ascii="Times New Roman" w:hAnsi="Times New Roman" w:eastAsia="宋体" w:cs="宋体"/>
                      <w:caps w:val="0"/>
                      <w:color w:val="auto"/>
                      <w:spacing w:val="2"/>
                      <w:sz w:val="21"/>
                      <w:szCs w:val="21"/>
                      <w:highlight w:val="none"/>
                      <w:vertAlign w:val="superscript"/>
                      <w:lang w:val="en-US" w:eastAsia="zh-CN"/>
                    </w:rPr>
                    <w:t>3</w:t>
                  </w:r>
                  <w:r>
                    <w:rPr>
                      <w:rFonts w:hint="eastAsia" w:ascii="Times New Roman" w:hAnsi="Times New Roman" w:eastAsia="宋体" w:cs="宋体"/>
                      <w:caps w:val="0"/>
                      <w:color w:val="auto"/>
                      <w:spacing w:val="2"/>
                      <w:position w:val="6"/>
                      <w:sz w:val="21"/>
                      <w:szCs w:val="21"/>
                      <w:highlight w:val="none"/>
                      <w:lang w:eastAsia="zh-CN"/>
                    </w:rPr>
                    <w:t>)</w:t>
                  </w:r>
                </w:p>
              </w:tc>
              <w:tc>
                <w:tcPr>
                  <w:tcW w:w="1052" w:type="dxa"/>
                  <w:tcBorders>
                    <w:tl2br w:val="nil"/>
                    <w:tr2bl w:val="nil"/>
                  </w:tcBorders>
                  <w:vAlign w:val="center"/>
                </w:tcPr>
                <w:p w14:paraId="61F90888">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5"/>
                      <w:sz w:val="21"/>
                      <w:szCs w:val="21"/>
                      <w:highlight w:val="none"/>
                    </w:rPr>
                    <w:t>占标率</w:t>
                  </w:r>
                </w:p>
                <w:p w14:paraId="59027B3A">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z w:val="21"/>
                      <w:szCs w:val="21"/>
                      <w:highlight w:val="none"/>
                    </w:rPr>
                    <w:t>（%）</w:t>
                  </w:r>
                </w:p>
              </w:tc>
              <w:tc>
                <w:tcPr>
                  <w:tcW w:w="1092" w:type="dxa"/>
                  <w:tcBorders>
                    <w:tl2br w:val="nil"/>
                    <w:tr2bl w:val="nil"/>
                  </w:tcBorders>
                  <w:vAlign w:val="center"/>
                </w:tcPr>
                <w:p w14:paraId="3A9778DF">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7"/>
                      <w:sz w:val="21"/>
                      <w:szCs w:val="21"/>
                      <w:highlight w:val="none"/>
                    </w:rPr>
                    <w:t>达标情况</w:t>
                  </w:r>
                </w:p>
              </w:tc>
            </w:tr>
            <w:tr w14:paraId="10B176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0" w:type="dxa"/>
                  <w:tcBorders>
                    <w:tl2br w:val="nil"/>
                    <w:tr2bl w:val="nil"/>
                  </w:tcBorders>
                  <w:vAlign w:val="center"/>
                </w:tcPr>
                <w:p w14:paraId="4177855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z w:val="21"/>
                      <w:szCs w:val="21"/>
                      <w:highlight w:val="none"/>
                    </w:rPr>
                    <w:t>PM</w:t>
                  </w:r>
                  <w:r>
                    <w:rPr>
                      <w:rFonts w:ascii="Times New Roman" w:hAnsi="Times New Roman" w:eastAsia="宋体" w:cs="宋体"/>
                      <w:caps w:val="0"/>
                      <w:color w:val="auto"/>
                      <w:spacing w:val="6"/>
                      <w:position w:val="-1"/>
                      <w:sz w:val="21"/>
                      <w:szCs w:val="21"/>
                      <w:highlight w:val="none"/>
                      <w:vertAlign w:val="subscript"/>
                    </w:rPr>
                    <w:t>2</w:t>
                  </w:r>
                  <w:r>
                    <w:rPr>
                      <w:rFonts w:hint="eastAsia" w:ascii="Times New Roman" w:hAnsi="Times New Roman" w:eastAsia="宋体" w:cs="宋体"/>
                      <w:caps w:val="0"/>
                      <w:color w:val="auto"/>
                      <w:spacing w:val="6"/>
                      <w:position w:val="-1"/>
                      <w:sz w:val="21"/>
                      <w:szCs w:val="21"/>
                      <w:highlight w:val="none"/>
                      <w:vertAlign w:val="subscript"/>
                      <w:lang w:eastAsia="zh-CN"/>
                    </w:rPr>
                    <w:t>.</w:t>
                  </w:r>
                  <w:r>
                    <w:rPr>
                      <w:rFonts w:ascii="Times New Roman" w:hAnsi="Times New Roman" w:eastAsia="宋体" w:cs="宋体"/>
                      <w:caps w:val="0"/>
                      <w:color w:val="auto"/>
                      <w:spacing w:val="6"/>
                      <w:position w:val="-1"/>
                      <w:sz w:val="21"/>
                      <w:szCs w:val="21"/>
                      <w:highlight w:val="none"/>
                      <w:vertAlign w:val="subscript"/>
                    </w:rPr>
                    <w:t>5</w:t>
                  </w:r>
                </w:p>
              </w:tc>
              <w:tc>
                <w:tcPr>
                  <w:tcW w:w="2250" w:type="dxa"/>
                  <w:tcBorders>
                    <w:tl2br w:val="nil"/>
                    <w:tr2bl w:val="nil"/>
                  </w:tcBorders>
                  <w:vAlign w:val="center"/>
                </w:tcPr>
                <w:p w14:paraId="63391A55">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8"/>
                      <w:sz w:val="21"/>
                      <w:szCs w:val="21"/>
                      <w:highlight w:val="none"/>
                    </w:rPr>
                    <w:t>年平均质量浓度</w:t>
                  </w:r>
                </w:p>
              </w:tc>
              <w:tc>
                <w:tcPr>
                  <w:tcW w:w="1256" w:type="dxa"/>
                  <w:tcBorders>
                    <w:tl2br w:val="nil"/>
                    <w:tr2bl w:val="nil"/>
                  </w:tcBorders>
                  <w:vAlign w:val="center"/>
                </w:tcPr>
                <w:p w14:paraId="416549F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cs="宋体"/>
                      <w:caps w:val="0"/>
                      <w:color w:val="auto"/>
                      <w:spacing w:val="2"/>
                      <w:sz w:val="21"/>
                      <w:szCs w:val="21"/>
                      <w:highlight w:val="none"/>
                      <w:lang w:val="en-US" w:eastAsia="zh-CN"/>
                    </w:rPr>
                    <w:t>26</w:t>
                  </w:r>
                </w:p>
              </w:tc>
              <w:tc>
                <w:tcPr>
                  <w:tcW w:w="1256" w:type="dxa"/>
                  <w:tcBorders>
                    <w:tl2br w:val="nil"/>
                    <w:tr2bl w:val="nil"/>
                  </w:tcBorders>
                  <w:vAlign w:val="center"/>
                </w:tcPr>
                <w:p w14:paraId="6FB2963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cs="宋体"/>
                      <w:caps w:val="0"/>
                      <w:color w:val="auto"/>
                      <w:sz w:val="21"/>
                      <w:szCs w:val="21"/>
                      <w:highlight w:val="none"/>
                      <w:lang w:val="en-US" w:eastAsia="zh-CN"/>
                    </w:rPr>
                    <w:t>30</w:t>
                  </w:r>
                </w:p>
              </w:tc>
              <w:tc>
                <w:tcPr>
                  <w:tcW w:w="1052" w:type="dxa"/>
                  <w:tcBorders>
                    <w:tl2br w:val="nil"/>
                    <w:tr2bl w:val="nil"/>
                  </w:tcBorders>
                  <w:vAlign w:val="center"/>
                </w:tcPr>
                <w:p w14:paraId="31C2DDE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z w:val="21"/>
                      <w:szCs w:val="21"/>
                      <w:highlight w:val="none"/>
                    </w:rPr>
                    <w:t>80</w:t>
                  </w:r>
                  <w:r>
                    <w:rPr>
                      <w:rFonts w:hint="eastAsia" w:ascii="Times New Roman" w:hAnsi="Times New Roman" w:eastAsia="宋体" w:cs="宋体"/>
                      <w:caps w:val="0"/>
                      <w:color w:val="auto"/>
                      <w:sz w:val="21"/>
                      <w:szCs w:val="21"/>
                      <w:highlight w:val="none"/>
                      <w:lang w:eastAsia="zh-CN"/>
                    </w:rPr>
                    <w:t>.</w:t>
                  </w:r>
                  <w:r>
                    <w:rPr>
                      <w:rFonts w:ascii="Times New Roman" w:hAnsi="Times New Roman" w:eastAsia="宋体" w:cs="宋体"/>
                      <w:caps w:val="0"/>
                      <w:color w:val="auto"/>
                      <w:sz w:val="21"/>
                      <w:szCs w:val="21"/>
                      <w:highlight w:val="none"/>
                    </w:rPr>
                    <w:t>0</w:t>
                  </w:r>
                </w:p>
              </w:tc>
              <w:tc>
                <w:tcPr>
                  <w:tcW w:w="1092" w:type="dxa"/>
                  <w:tcBorders>
                    <w:tl2br w:val="nil"/>
                    <w:tr2bl w:val="nil"/>
                  </w:tcBorders>
                  <w:vAlign w:val="center"/>
                </w:tcPr>
                <w:p w14:paraId="3B3E288F">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5"/>
                      <w:sz w:val="21"/>
                      <w:szCs w:val="21"/>
                      <w:highlight w:val="none"/>
                    </w:rPr>
                    <w:t>达标</w:t>
                  </w:r>
                </w:p>
              </w:tc>
            </w:tr>
            <w:tr w14:paraId="26A53E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0" w:type="dxa"/>
                  <w:tcBorders>
                    <w:tl2br w:val="nil"/>
                    <w:tr2bl w:val="nil"/>
                  </w:tcBorders>
                  <w:vAlign w:val="center"/>
                </w:tcPr>
                <w:p w14:paraId="0F9E46E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z w:val="21"/>
                      <w:szCs w:val="21"/>
                      <w:highlight w:val="none"/>
                    </w:rPr>
                    <w:t>PM</w:t>
                  </w:r>
                  <w:r>
                    <w:rPr>
                      <w:rFonts w:ascii="Times New Roman" w:hAnsi="Times New Roman" w:eastAsia="宋体" w:cs="宋体"/>
                      <w:caps w:val="0"/>
                      <w:color w:val="auto"/>
                      <w:spacing w:val="8"/>
                      <w:position w:val="-1"/>
                      <w:sz w:val="21"/>
                      <w:szCs w:val="21"/>
                      <w:highlight w:val="none"/>
                      <w:vertAlign w:val="subscript"/>
                    </w:rPr>
                    <w:t>10</w:t>
                  </w:r>
                </w:p>
              </w:tc>
              <w:tc>
                <w:tcPr>
                  <w:tcW w:w="2250" w:type="dxa"/>
                  <w:tcBorders>
                    <w:tl2br w:val="nil"/>
                    <w:tr2bl w:val="nil"/>
                  </w:tcBorders>
                  <w:vAlign w:val="center"/>
                </w:tcPr>
                <w:p w14:paraId="32E74115">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8"/>
                      <w:sz w:val="21"/>
                      <w:szCs w:val="21"/>
                      <w:highlight w:val="none"/>
                    </w:rPr>
                    <w:t>年平均质量浓度</w:t>
                  </w:r>
                </w:p>
              </w:tc>
              <w:tc>
                <w:tcPr>
                  <w:tcW w:w="1256" w:type="dxa"/>
                  <w:tcBorders>
                    <w:tl2br w:val="nil"/>
                    <w:tr2bl w:val="nil"/>
                  </w:tcBorders>
                  <w:vAlign w:val="center"/>
                </w:tcPr>
                <w:p w14:paraId="1FBAC48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cs="宋体"/>
                      <w:caps w:val="0"/>
                      <w:color w:val="auto"/>
                      <w:sz w:val="21"/>
                      <w:szCs w:val="21"/>
                      <w:highlight w:val="none"/>
                      <w:lang w:val="en-US" w:eastAsia="zh-CN"/>
                    </w:rPr>
                    <w:t>43</w:t>
                  </w:r>
                </w:p>
              </w:tc>
              <w:tc>
                <w:tcPr>
                  <w:tcW w:w="1256" w:type="dxa"/>
                  <w:tcBorders>
                    <w:tl2br w:val="nil"/>
                    <w:tr2bl w:val="nil"/>
                  </w:tcBorders>
                  <w:vAlign w:val="center"/>
                </w:tcPr>
                <w:p w14:paraId="6FF462D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cs="宋体"/>
                      <w:caps w:val="0"/>
                      <w:color w:val="auto"/>
                      <w:spacing w:val="1"/>
                      <w:sz w:val="21"/>
                      <w:szCs w:val="21"/>
                      <w:highlight w:val="none"/>
                      <w:lang w:val="en-US" w:eastAsia="zh-CN"/>
                    </w:rPr>
                    <w:t>60</w:t>
                  </w:r>
                </w:p>
              </w:tc>
              <w:tc>
                <w:tcPr>
                  <w:tcW w:w="1052" w:type="dxa"/>
                  <w:tcBorders>
                    <w:tl2br w:val="nil"/>
                    <w:tr2bl w:val="nil"/>
                  </w:tcBorders>
                  <w:vAlign w:val="center"/>
                </w:tcPr>
                <w:p w14:paraId="4402373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2"/>
                      <w:sz w:val="21"/>
                      <w:szCs w:val="21"/>
                      <w:highlight w:val="none"/>
                    </w:rPr>
                    <w:t>71</w:t>
                  </w:r>
                  <w:r>
                    <w:rPr>
                      <w:rFonts w:hint="eastAsia" w:ascii="Times New Roman" w:hAnsi="Times New Roman" w:eastAsia="宋体" w:cs="宋体"/>
                      <w:caps w:val="0"/>
                      <w:color w:val="auto"/>
                      <w:spacing w:val="2"/>
                      <w:sz w:val="21"/>
                      <w:szCs w:val="21"/>
                      <w:highlight w:val="none"/>
                      <w:lang w:eastAsia="zh-CN"/>
                    </w:rPr>
                    <w:t>.</w:t>
                  </w:r>
                  <w:r>
                    <w:rPr>
                      <w:rFonts w:ascii="Times New Roman" w:hAnsi="Times New Roman" w:eastAsia="宋体" w:cs="宋体"/>
                      <w:caps w:val="0"/>
                      <w:color w:val="auto"/>
                      <w:spacing w:val="2"/>
                      <w:sz w:val="21"/>
                      <w:szCs w:val="21"/>
                      <w:highlight w:val="none"/>
                    </w:rPr>
                    <w:t>4</w:t>
                  </w:r>
                </w:p>
              </w:tc>
              <w:tc>
                <w:tcPr>
                  <w:tcW w:w="1092" w:type="dxa"/>
                  <w:tcBorders>
                    <w:tl2br w:val="nil"/>
                    <w:tr2bl w:val="nil"/>
                  </w:tcBorders>
                  <w:vAlign w:val="center"/>
                </w:tcPr>
                <w:p w14:paraId="7223E1C5">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5"/>
                      <w:sz w:val="21"/>
                      <w:szCs w:val="21"/>
                      <w:highlight w:val="none"/>
                    </w:rPr>
                    <w:t>达标</w:t>
                  </w:r>
                </w:p>
              </w:tc>
            </w:tr>
            <w:tr w14:paraId="24531A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0" w:type="dxa"/>
                  <w:tcBorders>
                    <w:tl2br w:val="nil"/>
                    <w:tr2bl w:val="nil"/>
                  </w:tcBorders>
                  <w:vAlign w:val="center"/>
                </w:tcPr>
                <w:p w14:paraId="77ED5C3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z w:val="21"/>
                      <w:szCs w:val="21"/>
                      <w:highlight w:val="none"/>
                    </w:rPr>
                    <w:t>SO</w:t>
                  </w:r>
                  <w:r>
                    <w:rPr>
                      <w:rFonts w:ascii="Times New Roman" w:hAnsi="Times New Roman" w:eastAsia="宋体" w:cs="宋体"/>
                      <w:caps w:val="0"/>
                      <w:color w:val="auto"/>
                      <w:spacing w:val="1"/>
                      <w:position w:val="-1"/>
                      <w:sz w:val="21"/>
                      <w:szCs w:val="21"/>
                      <w:highlight w:val="none"/>
                      <w:vertAlign w:val="subscript"/>
                    </w:rPr>
                    <w:t>2</w:t>
                  </w:r>
                </w:p>
              </w:tc>
              <w:tc>
                <w:tcPr>
                  <w:tcW w:w="2250" w:type="dxa"/>
                  <w:tcBorders>
                    <w:tl2br w:val="nil"/>
                    <w:tr2bl w:val="nil"/>
                  </w:tcBorders>
                  <w:vAlign w:val="center"/>
                </w:tcPr>
                <w:p w14:paraId="7404A2C3">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8"/>
                      <w:sz w:val="21"/>
                      <w:szCs w:val="21"/>
                      <w:highlight w:val="none"/>
                    </w:rPr>
                    <w:t>年平均质量浓度</w:t>
                  </w:r>
                </w:p>
              </w:tc>
              <w:tc>
                <w:tcPr>
                  <w:tcW w:w="1256" w:type="dxa"/>
                  <w:tcBorders>
                    <w:tl2br w:val="nil"/>
                    <w:tr2bl w:val="nil"/>
                  </w:tcBorders>
                  <w:vAlign w:val="center"/>
                </w:tcPr>
                <w:p w14:paraId="070C2AA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z w:val="21"/>
                      <w:szCs w:val="21"/>
                      <w:highlight w:val="none"/>
                    </w:rPr>
                    <w:t>8</w:t>
                  </w:r>
                </w:p>
              </w:tc>
              <w:tc>
                <w:tcPr>
                  <w:tcW w:w="1256" w:type="dxa"/>
                  <w:tcBorders>
                    <w:tl2br w:val="nil"/>
                    <w:tr2bl w:val="nil"/>
                  </w:tcBorders>
                  <w:vAlign w:val="center"/>
                </w:tcPr>
                <w:p w14:paraId="0A66A5D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z w:val="21"/>
                      <w:szCs w:val="21"/>
                      <w:highlight w:val="none"/>
                    </w:rPr>
                    <w:t>60</w:t>
                  </w:r>
                </w:p>
              </w:tc>
              <w:tc>
                <w:tcPr>
                  <w:tcW w:w="1052" w:type="dxa"/>
                  <w:tcBorders>
                    <w:tl2br w:val="nil"/>
                    <w:tr2bl w:val="nil"/>
                  </w:tcBorders>
                  <w:vAlign w:val="center"/>
                </w:tcPr>
                <w:p w14:paraId="161666E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3"/>
                      <w:sz w:val="21"/>
                      <w:szCs w:val="21"/>
                      <w:highlight w:val="none"/>
                    </w:rPr>
                    <w:t>13</w:t>
                  </w:r>
                  <w:r>
                    <w:rPr>
                      <w:rFonts w:hint="eastAsia" w:ascii="Times New Roman" w:hAnsi="Times New Roman" w:eastAsia="宋体" w:cs="宋体"/>
                      <w:caps w:val="0"/>
                      <w:color w:val="auto"/>
                      <w:spacing w:val="-3"/>
                      <w:sz w:val="21"/>
                      <w:szCs w:val="21"/>
                      <w:highlight w:val="none"/>
                      <w:lang w:eastAsia="zh-CN"/>
                    </w:rPr>
                    <w:t>.</w:t>
                  </w:r>
                  <w:r>
                    <w:rPr>
                      <w:rFonts w:ascii="Times New Roman" w:hAnsi="Times New Roman" w:eastAsia="宋体" w:cs="宋体"/>
                      <w:caps w:val="0"/>
                      <w:color w:val="auto"/>
                      <w:spacing w:val="-3"/>
                      <w:sz w:val="21"/>
                      <w:szCs w:val="21"/>
                      <w:highlight w:val="none"/>
                    </w:rPr>
                    <w:t>3</w:t>
                  </w:r>
                </w:p>
              </w:tc>
              <w:tc>
                <w:tcPr>
                  <w:tcW w:w="1092" w:type="dxa"/>
                  <w:tcBorders>
                    <w:tl2br w:val="nil"/>
                    <w:tr2bl w:val="nil"/>
                  </w:tcBorders>
                  <w:vAlign w:val="center"/>
                </w:tcPr>
                <w:p w14:paraId="366707B7">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5"/>
                      <w:sz w:val="21"/>
                      <w:szCs w:val="21"/>
                      <w:highlight w:val="none"/>
                    </w:rPr>
                    <w:t>达标</w:t>
                  </w:r>
                </w:p>
              </w:tc>
            </w:tr>
            <w:tr w14:paraId="580384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0" w:type="dxa"/>
                  <w:tcBorders>
                    <w:tl2br w:val="nil"/>
                    <w:tr2bl w:val="nil"/>
                  </w:tcBorders>
                  <w:vAlign w:val="center"/>
                </w:tcPr>
                <w:p w14:paraId="3E41481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7"/>
                      <w:sz w:val="21"/>
                      <w:szCs w:val="21"/>
                      <w:highlight w:val="none"/>
                    </w:rPr>
                    <w:t>NO</w:t>
                  </w:r>
                  <w:r>
                    <w:rPr>
                      <w:rFonts w:ascii="Times New Roman" w:hAnsi="Times New Roman" w:eastAsia="宋体" w:cs="宋体"/>
                      <w:caps w:val="0"/>
                      <w:color w:val="auto"/>
                      <w:spacing w:val="7"/>
                      <w:position w:val="-1"/>
                      <w:sz w:val="21"/>
                      <w:szCs w:val="21"/>
                      <w:highlight w:val="none"/>
                      <w:vertAlign w:val="subscript"/>
                    </w:rPr>
                    <w:t>2</w:t>
                  </w:r>
                </w:p>
              </w:tc>
              <w:tc>
                <w:tcPr>
                  <w:tcW w:w="2250" w:type="dxa"/>
                  <w:tcBorders>
                    <w:tl2br w:val="nil"/>
                    <w:tr2bl w:val="nil"/>
                  </w:tcBorders>
                  <w:vAlign w:val="center"/>
                </w:tcPr>
                <w:p w14:paraId="5D05D816">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8"/>
                      <w:sz w:val="21"/>
                      <w:szCs w:val="21"/>
                      <w:highlight w:val="none"/>
                    </w:rPr>
                    <w:t>年平均质量浓度</w:t>
                  </w:r>
                </w:p>
              </w:tc>
              <w:tc>
                <w:tcPr>
                  <w:tcW w:w="1256" w:type="dxa"/>
                  <w:tcBorders>
                    <w:tl2br w:val="nil"/>
                    <w:tr2bl w:val="nil"/>
                  </w:tcBorders>
                  <w:vAlign w:val="center"/>
                </w:tcPr>
                <w:p w14:paraId="62EDF33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2"/>
                      <w:sz w:val="21"/>
                      <w:szCs w:val="21"/>
                      <w:highlight w:val="none"/>
                    </w:rPr>
                    <w:t>20</w:t>
                  </w:r>
                </w:p>
              </w:tc>
              <w:tc>
                <w:tcPr>
                  <w:tcW w:w="1256" w:type="dxa"/>
                  <w:tcBorders>
                    <w:tl2br w:val="nil"/>
                    <w:tr2bl w:val="nil"/>
                  </w:tcBorders>
                  <w:vAlign w:val="center"/>
                </w:tcPr>
                <w:p w14:paraId="5587360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3"/>
                      <w:sz w:val="21"/>
                      <w:szCs w:val="21"/>
                      <w:highlight w:val="none"/>
                    </w:rPr>
                    <w:t>40</w:t>
                  </w:r>
                </w:p>
              </w:tc>
              <w:tc>
                <w:tcPr>
                  <w:tcW w:w="1052" w:type="dxa"/>
                  <w:tcBorders>
                    <w:tl2br w:val="nil"/>
                    <w:tr2bl w:val="nil"/>
                  </w:tcBorders>
                  <w:vAlign w:val="center"/>
                </w:tcPr>
                <w:p w14:paraId="2185D6B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1"/>
                      <w:sz w:val="21"/>
                      <w:szCs w:val="21"/>
                      <w:highlight w:val="none"/>
                    </w:rPr>
                    <w:t>50</w:t>
                  </w:r>
                  <w:r>
                    <w:rPr>
                      <w:rFonts w:hint="eastAsia" w:ascii="Times New Roman" w:hAnsi="Times New Roman" w:eastAsia="宋体" w:cs="宋体"/>
                      <w:caps w:val="0"/>
                      <w:color w:val="auto"/>
                      <w:spacing w:val="1"/>
                      <w:sz w:val="21"/>
                      <w:szCs w:val="21"/>
                      <w:highlight w:val="none"/>
                      <w:lang w:eastAsia="zh-CN"/>
                    </w:rPr>
                    <w:t>.</w:t>
                  </w:r>
                  <w:r>
                    <w:rPr>
                      <w:rFonts w:ascii="Times New Roman" w:hAnsi="Times New Roman" w:eastAsia="宋体" w:cs="宋体"/>
                      <w:caps w:val="0"/>
                      <w:color w:val="auto"/>
                      <w:spacing w:val="1"/>
                      <w:sz w:val="21"/>
                      <w:szCs w:val="21"/>
                      <w:highlight w:val="none"/>
                    </w:rPr>
                    <w:t>0</w:t>
                  </w:r>
                </w:p>
              </w:tc>
              <w:tc>
                <w:tcPr>
                  <w:tcW w:w="1092" w:type="dxa"/>
                  <w:tcBorders>
                    <w:tl2br w:val="nil"/>
                    <w:tr2bl w:val="nil"/>
                  </w:tcBorders>
                  <w:vAlign w:val="center"/>
                </w:tcPr>
                <w:p w14:paraId="46B9B2D3">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5"/>
                      <w:sz w:val="21"/>
                      <w:szCs w:val="21"/>
                      <w:highlight w:val="none"/>
                    </w:rPr>
                    <w:t>达标</w:t>
                  </w:r>
                </w:p>
              </w:tc>
            </w:tr>
            <w:tr w14:paraId="169F1C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0" w:type="dxa"/>
                  <w:tcBorders>
                    <w:tl2br w:val="nil"/>
                    <w:tr2bl w:val="nil"/>
                  </w:tcBorders>
                  <w:vAlign w:val="center"/>
                </w:tcPr>
                <w:p w14:paraId="378510D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2"/>
                      <w:sz w:val="21"/>
                      <w:szCs w:val="21"/>
                      <w:highlight w:val="none"/>
                    </w:rPr>
                    <w:t>CO</w:t>
                  </w:r>
                </w:p>
              </w:tc>
              <w:tc>
                <w:tcPr>
                  <w:tcW w:w="2250" w:type="dxa"/>
                  <w:tcBorders>
                    <w:tl2br w:val="nil"/>
                    <w:tr2bl w:val="nil"/>
                  </w:tcBorders>
                  <w:vAlign w:val="center"/>
                </w:tcPr>
                <w:p w14:paraId="494A803D">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5"/>
                      <w:sz w:val="21"/>
                      <w:szCs w:val="21"/>
                      <w:highlight w:val="none"/>
                    </w:rPr>
                    <w:t>百分位数24h平均浓度</w:t>
                  </w:r>
                </w:p>
              </w:tc>
              <w:tc>
                <w:tcPr>
                  <w:tcW w:w="1256" w:type="dxa"/>
                  <w:tcBorders>
                    <w:tl2br w:val="nil"/>
                    <w:tr2bl w:val="nil"/>
                  </w:tcBorders>
                  <w:vAlign w:val="center"/>
                </w:tcPr>
                <w:p w14:paraId="095F09D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1"/>
                      <w:sz w:val="21"/>
                      <w:szCs w:val="21"/>
                      <w:highlight w:val="none"/>
                    </w:rPr>
                    <w:t>1000</w:t>
                  </w:r>
                </w:p>
              </w:tc>
              <w:tc>
                <w:tcPr>
                  <w:tcW w:w="1256" w:type="dxa"/>
                  <w:tcBorders>
                    <w:tl2br w:val="nil"/>
                    <w:tr2bl w:val="nil"/>
                  </w:tcBorders>
                  <w:vAlign w:val="center"/>
                </w:tcPr>
                <w:p w14:paraId="4B2B291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4"/>
                      <w:sz w:val="21"/>
                      <w:szCs w:val="21"/>
                      <w:highlight w:val="none"/>
                    </w:rPr>
                    <w:t>4000</w:t>
                  </w:r>
                </w:p>
              </w:tc>
              <w:tc>
                <w:tcPr>
                  <w:tcW w:w="1052" w:type="dxa"/>
                  <w:tcBorders>
                    <w:tl2br w:val="nil"/>
                    <w:tr2bl w:val="nil"/>
                  </w:tcBorders>
                  <w:vAlign w:val="center"/>
                </w:tcPr>
                <w:p w14:paraId="64C12A5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2"/>
                      <w:sz w:val="21"/>
                      <w:szCs w:val="21"/>
                      <w:highlight w:val="none"/>
                    </w:rPr>
                    <w:t>25</w:t>
                  </w:r>
                  <w:r>
                    <w:rPr>
                      <w:rFonts w:hint="eastAsia" w:ascii="Times New Roman" w:hAnsi="Times New Roman" w:eastAsia="宋体" w:cs="宋体"/>
                      <w:caps w:val="0"/>
                      <w:color w:val="auto"/>
                      <w:spacing w:val="2"/>
                      <w:sz w:val="21"/>
                      <w:szCs w:val="21"/>
                      <w:highlight w:val="none"/>
                      <w:lang w:eastAsia="zh-CN"/>
                    </w:rPr>
                    <w:t>.</w:t>
                  </w:r>
                  <w:r>
                    <w:rPr>
                      <w:rFonts w:ascii="Times New Roman" w:hAnsi="Times New Roman" w:eastAsia="宋体" w:cs="宋体"/>
                      <w:caps w:val="0"/>
                      <w:color w:val="auto"/>
                      <w:spacing w:val="2"/>
                      <w:sz w:val="21"/>
                      <w:szCs w:val="21"/>
                      <w:highlight w:val="none"/>
                    </w:rPr>
                    <w:t>0</w:t>
                  </w:r>
                </w:p>
              </w:tc>
              <w:tc>
                <w:tcPr>
                  <w:tcW w:w="1092" w:type="dxa"/>
                  <w:tcBorders>
                    <w:tl2br w:val="nil"/>
                    <w:tr2bl w:val="nil"/>
                  </w:tcBorders>
                  <w:vAlign w:val="center"/>
                </w:tcPr>
                <w:p w14:paraId="12F6FCDE">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5"/>
                      <w:sz w:val="21"/>
                      <w:szCs w:val="21"/>
                      <w:highlight w:val="none"/>
                    </w:rPr>
                    <w:t>达标</w:t>
                  </w:r>
                </w:p>
              </w:tc>
            </w:tr>
            <w:tr w14:paraId="5C612D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0" w:type="dxa"/>
                  <w:tcBorders>
                    <w:tl2br w:val="nil"/>
                    <w:tr2bl w:val="nil"/>
                  </w:tcBorders>
                  <w:vAlign w:val="center"/>
                </w:tcPr>
                <w:p w14:paraId="0899246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1"/>
                      <w:sz w:val="21"/>
                      <w:szCs w:val="21"/>
                      <w:highlight w:val="none"/>
                    </w:rPr>
                    <w:t>O</w:t>
                  </w:r>
                  <w:r>
                    <w:rPr>
                      <w:rFonts w:ascii="Times New Roman" w:hAnsi="Times New Roman" w:eastAsia="宋体" w:cs="宋体"/>
                      <w:caps w:val="0"/>
                      <w:color w:val="auto"/>
                      <w:spacing w:val="1"/>
                      <w:position w:val="-1"/>
                      <w:sz w:val="21"/>
                      <w:szCs w:val="21"/>
                      <w:highlight w:val="none"/>
                      <w:vertAlign w:val="subscript"/>
                    </w:rPr>
                    <w:t>3</w:t>
                  </w:r>
                </w:p>
              </w:tc>
              <w:tc>
                <w:tcPr>
                  <w:tcW w:w="2250" w:type="dxa"/>
                  <w:tcBorders>
                    <w:tl2br w:val="nil"/>
                    <w:tr2bl w:val="nil"/>
                  </w:tcBorders>
                  <w:vAlign w:val="center"/>
                </w:tcPr>
                <w:p w14:paraId="490EAAD8">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5"/>
                      <w:sz w:val="21"/>
                      <w:szCs w:val="21"/>
                      <w:highlight w:val="none"/>
                    </w:rPr>
                    <w:t>百分位数8h平均浓度</w:t>
                  </w:r>
                </w:p>
              </w:tc>
              <w:tc>
                <w:tcPr>
                  <w:tcW w:w="1256" w:type="dxa"/>
                  <w:tcBorders>
                    <w:tl2br w:val="nil"/>
                    <w:tr2bl w:val="nil"/>
                  </w:tcBorders>
                  <w:vAlign w:val="center"/>
                </w:tcPr>
                <w:p w14:paraId="0BDF0D1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z w:val="21"/>
                      <w:szCs w:val="21"/>
                      <w:highlight w:val="none"/>
                    </w:rPr>
                    <w:t>98</w:t>
                  </w:r>
                </w:p>
              </w:tc>
              <w:tc>
                <w:tcPr>
                  <w:tcW w:w="1256" w:type="dxa"/>
                  <w:tcBorders>
                    <w:tl2br w:val="nil"/>
                    <w:tr2bl w:val="nil"/>
                  </w:tcBorders>
                  <w:vAlign w:val="center"/>
                </w:tcPr>
                <w:p w14:paraId="1089ACB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3"/>
                      <w:sz w:val="21"/>
                      <w:szCs w:val="21"/>
                      <w:highlight w:val="none"/>
                    </w:rPr>
                    <w:t>160</w:t>
                  </w:r>
                </w:p>
              </w:tc>
              <w:tc>
                <w:tcPr>
                  <w:tcW w:w="1052" w:type="dxa"/>
                  <w:tcBorders>
                    <w:tl2br w:val="nil"/>
                    <w:tr2bl w:val="nil"/>
                  </w:tcBorders>
                  <w:vAlign w:val="center"/>
                </w:tcPr>
                <w:p w14:paraId="2E69BAF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1"/>
                      <w:sz w:val="21"/>
                      <w:szCs w:val="21"/>
                      <w:highlight w:val="none"/>
                    </w:rPr>
                    <w:t>61</w:t>
                  </w:r>
                  <w:r>
                    <w:rPr>
                      <w:rFonts w:hint="eastAsia" w:ascii="Times New Roman" w:hAnsi="Times New Roman" w:eastAsia="宋体" w:cs="宋体"/>
                      <w:caps w:val="0"/>
                      <w:color w:val="auto"/>
                      <w:spacing w:val="1"/>
                      <w:sz w:val="21"/>
                      <w:szCs w:val="21"/>
                      <w:highlight w:val="none"/>
                      <w:lang w:eastAsia="zh-CN"/>
                    </w:rPr>
                    <w:t>.</w:t>
                  </w:r>
                  <w:r>
                    <w:rPr>
                      <w:rFonts w:ascii="Times New Roman" w:hAnsi="Times New Roman" w:eastAsia="宋体" w:cs="宋体"/>
                      <w:caps w:val="0"/>
                      <w:color w:val="auto"/>
                      <w:spacing w:val="1"/>
                      <w:sz w:val="21"/>
                      <w:szCs w:val="21"/>
                      <w:highlight w:val="none"/>
                    </w:rPr>
                    <w:t>2</w:t>
                  </w:r>
                </w:p>
              </w:tc>
              <w:tc>
                <w:tcPr>
                  <w:tcW w:w="1092" w:type="dxa"/>
                  <w:tcBorders>
                    <w:tl2br w:val="nil"/>
                    <w:tr2bl w:val="nil"/>
                  </w:tcBorders>
                  <w:vAlign w:val="center"/>
                </w:tcPr>
                <w:p w14:paraId="228C0AD4">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宋体" w:cs="宋体"/>
                      <w:caps w:val="0"/>
                      <w:color w:val="auto"/>
                      <w:sz w:val="21"/>
                      <w:szCs w:val="21"/>
                      <w:highlight w:val="none"/>
                    </w:rPr>
                  </w:pPr>
                  <w:r>
                    <w:rPr>
                      <w:rFonts w:ascii="Times New Roman" w:hAnsi="Times New Roman" w:eastAsia="宋体" w:cs="宋体"/>
                      <w:caps w:val="0"/>
                      <w:color w:val="auto"/>
                      <w:spacing w:val="5"/>
                      <w:sz w:val="21"/>
                      <w:szCs w:val="21"/>
                      <w:highlight w:val="none"/>
                    </w:rPr>
                    <w:t>达标</w:t>
                  </w:r>
                </w:p>
              </w:tc>
            </w:tr>
          </w:tbl>
          <w:p w14:paraId="039EDFFB">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b/>
                <w:bCs w:val="0"/>
                <w:caps w:val="0"/>
                <w:color w:val="auto"/>
                <w:spacing w:val="0"/>
                <w:sz w:val="24"/>
                <w:szCs w:val="24"/>
                <w:highlight w:val="none"/>
                <w:lang w:val="en-US" w:eastAsia="zh-CN"/>
              </w:rPr>
            </w:pPr>
            <w:r>
              <w:rPr>
                <w:rFonts w:ascii="Times New Roman" w:hAnsi="Times New Roman" w:eastAsia="宋体" w:cs="宋体"/>
                <w:caps w:val="0"/>
                <w:color w:val="auto"/>
                <w:sz w:val="24"/>
                <w:szCs w:val="24"/>
                <w:highlight w:val="none"/>
              </w:rPr>
              <w:t>根据《</w:t>
            </w:r>
            <w:r>
              <w:rPr>
                <w:rFonts w:hint="eastAsia" w:ascii="Times New Roman" w:hAnsi="Times New Roman" w:cs="宋体"/>
                <w:caps w:val="0"/>
                <w:color w:val="auto"/>
                <w:sz w:val="24"/>
                <w:szCs w:val="24"/>
                <w:highlight w:val="none"/>
                <w:lang w:eastAsia="zh-CN"/>
              </w:rPr>
              <w:t>2025年黑龙江省生态环境质量状况</w:t>
            </w:r>
            <w:r>
              <w:rPr>
                <w:rFonts w:ascii="Times New Roman" w:hAnsi="Times New Roman" w:eastAsia="宋体" w:cs="宋体"/>
                <w:caps w:val="0"/>
                <w:color w:val="auto"/>
                <w:sz w:val="24"/>
                <w:szCs w:val="24"/>
                <w:highlight w:val="none"/>
              </w:rPr>
              <w:t>》结果，评价区环境空气质量能够</w:t>
            </w:r>
            <w:r>
              <w:rPr>
                <w:rFonts w:ascii="Times New Roman" w:hAnsi="Times New Roman" w:eastAsia="宋体" w:cs="宋体"/>
                <w:caps w:val="0"/>
                <w:color w:val="auto"/>
                <w:spacing w:val="-1"/>
                <w:sz w:val="24"/>
                <w:szCs w:val="24"/>
                <w:highlight w:val="none"/>
              </w:rPr>
              <w:t>满足环境空气二类功能区要求，项目所在区域为达标区。</w:t>
            </w:r>
          </w:p>
          <w:p w14:paraId="79BB802F">
            <w:pPr>
              <w:ind w:left="0" w:leftChars="0" w:firstLine="0" w:firstLineChars="0"/>
              <w:rPr>
                <w:rFonts w:hint="eastAsia" w:ascii="Times New Roman" w:hAnsi="Times New Roman" w:eastAsia="宋体" w:cs="宋体"/>
                <w:b/>
                <w:bCs w:val="0"/>
                <w:caps w:val="0"/>
                <w:color w:val="auto"/>
                <w:spacing w:val="0"/>
                <w:sz w:val="24"/>
                <w:szCs w:val="24"/>
                <w:highlight w:val="none"/>
                <w:lang w:val="en-US" w:eastAsia="zh-CN"/>
              </w:rPr>
            </w:pPr>
            <w:r>
              <w:rPr>
                <w:rFonts w:hint="eastAsia" w:ascii="Times New Roman" w:hAnsi="Times New Roman" w:eastAsia="宋体" w:cs="宋体"/>
                <w:b/>
                <w:bCs w:val="0"/>
                <w:caps w:val="0"/>
                <w:color w:val="auto"/>
                <w:spacing w:val="0"/>
                <w:sz w:val="24"/>
                <w:szCs w:val="24"/>
                <w:highlight w:val="none"/>
                <w:lang w:val="en-US" w:eastAsia="zh-CN"/>
              </w:rPr>
              <w:t>2.地表水质量现状</w:t>
            </w:r>
          </w:p>
          <w:p w14:paraId="58A30D80">
            <w:pPr>
              <w:pStyle w:val="147"/>
              <w:keepNext w:val="0"/>
              <w:keepLines w:val="0"/>
              <w:pageBreakBefore w:val="0"/>
              <w:widowControl w:val="0"/>
              <w:kinsoku/>
              <w:wordWrap/>
              <w:overflowPunct/>
              <w:topLinePunct w:val="0"/>
              <w:autoSpaceDE/>
              <w:autoSpaceDN/>
              <w:bidi w:val="0"/>
              <w:adjustRightInd w:val="0"/>
              <w:snapToGrid w:val="0"/>
              <w:spacing w:line="360" w:lineRule="auto"/>
              <w:ind w:left="0" w:right="0" w:firstLine="476"/>
              <w:jc w:val="both"/>
              <w:textAlignment w:val="auto"/>
              <w:rPr>
                <w:rFonts w:ascii="Times New Roman" w:hAnsi="Times New Roman" w:eastAsia="宋体" w:cs="宋体"/>
                <w:caps w:val="0"/>
                <w:color w:val="auto"/>
                <w:sz w:val="24"/>
                <w:szCs w:val="24"/>
                <w:highlight w:val="none"/>
              </w:rPr>
            </w:pPr>
            <w:r>
              <w:rPr>
                <w:rFonts w:ascii="Times New Roman" w:hAnsi="Times New Roman" w:eastAsia="宋体" w:cs="宋体"/>
                <w:caps w:val="0"/>
                <w:color w:val="auto"/>
                <w:spacing w:val="-2"/>
                <w:sz w:val="24"/>
                <w:szCs w:val="24"/>
                <w:highlight w:val="none"/>
              </w:rPr>
              <w:t>根据《全国重要江河湖泊水功能区划（2011-2030）》（黑龙江省）可知，本</w:t>
            </w:r>
            <w:r>
              <w:rPr>
                <w:rFonts w:ascii="Times New Roman" w:hAnsi="Times New Roman" w:eastAsia="宋体" w:cs="宋体"/>
                <w:caps w:val="0"/>
                <w:color w:val="auto"/>
                <w:sz w:val="24"/>
                <w:szCs w:val="24"/>
                <w:highlight w:val="none"/>
              </w:rPr>
              <w:t>项目涉及地表水体为穆棱河（东胜村至鸡古路西100m至凯北站</w:t>
            </w:r>
            <w:r>
              <w:rPr>
                <w:rFonts w:ascii="Times New Roman" w:hAnsi="Times New Roman" w:eastAsia="宋体" w:cs="宋体"/>
                <w:caps w:val="0"/>
                <w:color w:val="auto"/>
                <w:spacing w:val="16"/>
                <w:sz w:val="24"/>
                <w:szCs w:val="24"/>
                <w:highlight w:val="none"/>
              </w:rPr>
              <w:t>），</w:t>
            </w:r>
            <w:r>
              <w:rPr>
                <w:rFonts w:ascii="Times New Roman" w:hAnsi="Times New Roman" w:eastAsia="宋体" w:cs="宋体"/>
                <w:caps w:val="0"/>
                <w:color w:val="auto"/>
                <w:sz w:val="24"/>
                <w:szCs w:val="24"/>
                <w:highlight w:val="none"/>
              </w:rPr>
              <w:t>属穆棱河鸡</w:t>
            </w:r>
            <w:r>
              <w:rPr>
                <w:rFonts w:ascii="Times New Roman" w:hAnsi="Times New Roman" w:eastAsia="宋体" w:cs="宋体"/>
                <w:caps w:val="0"/>
                <w:color w:val="auto"/>
                <w:spacing w:val="-2"/>
                <w:sz w:val="24"/>
                <w:szCs w:val="24"/>
                <w:highlight w:val="none"/>
              </w:rPr>
              <w:t>西市过渡区，水质目标为</w:t>
            </w:r>
            <w:r>
              <w:rPr>
                <w:rFonts w:hint="eastAsia" w:ascii="Times New Roman" w:hAnsi="Times New Roman" w:eastAsia="宋体" w:cs="宋体"/>
                <w:caps w:val="0"/>
                <w:color w:val="auto"/>
                <w:spacing w:val="-2"/>
                <w:sz w:val="24"/>
                <w:szCs w:val="24"/>
                <w:highlight w:val="none"/>
                <w:lang w:eastAsia="zh-CN"/>
              </w:rPr>
              <w:t>Ⅳ类</w:t>
            </w:r>
            <w:r>
              <w:rPr>
                <w:rFonts w:ascii="Times New Roman" w:hAnsi="Times New Roman" w:eastAsia="宋体" w:cs="宋体"/>
                <w:caps w:val="0"/>
                <w:color w:val="auto"/>
                <w:spacing w:val="-2"/>
                <w:sz w:val="24"/>
                <w:szCs w:val="24"/>
                <w:highlight w:val="none"/>
              </w:rPr>
              <w:t>。</w:t>
            </w:r>
          </w:p>
          <w:p w14:paraId="7420A74B">
            <w:pPr>
              <w:pStyle w:val="130"/>
              <w:keepNext w:val="0"/>
              <w:keepLines w:val="0"/>
              <w:pageBreakBefore w:val="0"/>
              <w:widowControl w:val="0"/>
              <w:kinsoku/>
              <w:wordWrap/>
              <w:overflowPunct/>
              <w:topLinePunct w:val="0"/>
              <w:autoSpaceDE/>
              <w:autoSpaceDN/>
              <w:bidi w:val="0"/>
              <w:adjustRightInd w:val="0"/>
              <w:snapToGrid w:val="0"/>
              <w:spacing w:line="360" w:lineRule="auto"/>
              <w:ind w:left="0" w:right="0" w:firstLine="480"/>
              <w:jc w:val="both"/>
              <w:textAlignment w:val="auto"/>
              <w:rPr>
                <w:rFonts w:hint="eastAsia" w:ascii="Times New Roman" w:hAnsi="Times New Roman" w:eastAsia="宋体" w:cs="宋体"/>
                <w:caps w:val="0"/>
                <w:color w:val="auto"/>
                <w:spacing w:val="0"/>
                <w:sz w:val="24"/>
                <w:szCs w:val="24"/>
                <w:highlight w:val="none"/>
              </w:rPr>
            </w:pPr>
            <w:r>
              <w:rPr>
                <w:rFonts w:ascii="Times New Roman" w:hAnsi="Times New Roman" w:eastAsia="宋体" w:cs="宋体"/>
                <w:caps w:val="0"/>
                <w:color w:val="auto"/>
                <w:spacing w:val="-1"/>
                <w:sz w:val="24"/>
                <w:szCs w:val="24"/>
                <w:highlight w:val="none"/>
              </w:rPr>
              <w:t>根据《</w:t>
            </w:r>
            <w:r>
              <w:rPr>
                <w:rFonts w:hint="eastAsia" w:ascii="Times New Roman" w:hAnsi="Times New Roman" w:cs="宋体"/>
                <w:caps w:val="0"/>
                <w:color w:val="auto"/>
                <w:spacing w:val="-1"/>
                <w:sz w:val="24"/>
                <w:szCs w:val="24"/>
                <w:highlight w:val="none"/>
                <w:lang w:eastAsia="zh-CN"/>
              </w:rPr>
              <w:t>2025年黑龙江省生态环境质量状况</w:t>
            </w:r>
            <w:r>
              <w:rPr>
                <w:rFonts w:ascii="Times New Roman" w:hAnsi="Times New Roman" w:eastAsia="宋体" w:cs="宋体"/>
                <w:caps w:val="0"/>
                <w:color w:val="auto"/>
                <w:spacing w:val="-1"/>
                <w:sz w:val="24"/>
                <w:szCs w:val="24"/>
                <w:highlight w:val="none"/>
              </w:rPr>
              <w:t>》，</w:t>
            </w:r>
            <w:r>
              <w:rPr>
                <w:rFonts w:ascii="Times New Roman" w:hAnsi="Times New Roman" w:eastAsia="宋体" w:cs="宋体"/>
                <w:caps w:val="0"/>
                <w:color w:val="auto"/>
                <w:spacing w:val="-2"/>
                <w:sz w:val="24"/>
                <w:szCs w:val="24"/>
                <w:highlight w:val="none"/>
              </w:rPr>
              <w:t>穆棱河鸡东境内该段水体指标</w:t>
            </w:r>
            <w:r>
              <w:rPr>
                <w:rFonts w:ascii="Times New Roman" w:hAnsi="Times New Roman" w:eastAsia="宋体" w:cs="宋体"/>
                <w:caps w:val="0"/>
                <w:color w:val="auto"/>
                <w:spacing w:val="-1"/>
                <w:sz w:val="24"/>
                <w:szCs w:val="24"/>
                <w:highlight w:val="none"/>
              </w:rPr>
              <w:t>可满足Ⅲ类水体功能标准，水体状况良好。</w:t>
            </w:r>
          </w:p>
          <w:p w14:paraId="0310E667">
            <w:pPr>
              <w:ind w:left="0" w:leftChars="0" w:firstLine="0" w:firstLineChars="0"/>
              <w:rPr>
                <w:rFonts w:hint="eastAsia" w:ascii="Times New Roman" w:hAnsi="Times New Roman" w:eastAsia="宋体" w:cs="宋体"/>
                <w:b/>
                <w:bCs w:val="0"/>
                <w:caps w:val="0"/>
                <w:color w:val="auto"/>
                <w:spacing w:val="0"/>
                <w:sz w:val="24"/>
                <w:szCs w:val="24"/>
                <w:highlight w:val="none"/>
                <w:lang w:val="en-US" w:eastAsia="zh-CN"/>
              </w:rPr>
            </w:pPr>
            <w:r>
              <w:rPr>
                <w:rFonts w:hint="eastAsia" w:ascii="Times New Roman" w:hAnsi="Times New Roman" w:eastAsia="宋体" w:cs="宋体"/>
                <w:b/>
                <w:bCs w:val="0"/>
                <w:caps w:val="0"/>
                <w:color w:val="auto"/>
                <w:spacing w:val="0"/>
                <w:sz w:val="24"/>
                <w:szCs w:val="24"/>
                <w:highlight w:val="none"/>
                <w:lang w:val="en-US" w:eastAsia="zh-CN"/>
              </w:rPr>
              <w:t>3.声环境质量现状</w:t>
            </w:r>
          </w:p>
          <w:p w14:paraId="116424F6">
            <w:pPr>
              <w:pStyle w:val="117"/>
              <w:keepNext w:val="0"/>
              <w:keepLines w:val="0"/>
              <w:pageBreakBefore w:val="0"/>
              <w:widowControl w:val="0"/>
              <w:shd w:val="clear"/>
              <w:kinsoku/>
              <w:wordWrap/>
              <w:overflowPunct/>
              <w:topLinePunct w:val="0"/>
              <w:autoSpaceDE/>
              <w:autoSpaceDN/>
              <w:bidi w:val="0"/>
              <w:adjustRightInd w:val="0"/>
              <w:snapToGrid w:val="0"/>
              <w:spacing w:line="360" w:lineRule="auto"/>
              <w:ind w:left="0" w:right="0"/>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本项目50m范围内不存在声环境保护目标，无需对声环境保目标进行现状达标评价。</w:t>
            </w:r>
          </w:p>
          <w:p w14:paraId="058B3DC8">
            <w:pPr>
              <w:pStyle w:val="117"/>
              <w:keepNext w:val="0"/>
              <w:keepLines w:val="0"/>
              <w:pageBreakBefore w:val="0"/>
              <w:widowControl w:val="0"/>
              <w:shd w:val="clear"/>
              <w:kinsoku/>
              <w:wordWrap/>
              <w:overflowPunct/>
              <w:topLinePunct w:val="0"/>
              <w:autoSpaceDE/>
              <w:autoSpaceDN/>
              <w:bidi w:val="0"/>
              <w:adjustRightInd w:val="0"/>
              <w:snapToGrid w:val="0"/>
              <w:spacing w:line="360" w:lineRule="auto"/>
              <w:ind w:left="0" w:right="0"/>
              <w:rPr>
                <w:rFonts w:hint="eastAsia" w:ascii="宋体" w:hAnsi="宋体" w:eastAsia="宋体" w:cs="宋体"/>
                <w:color w:val="auto"/>
                <w:highlight w:val="none"/>
                <w:lang w:val="en-US"/>
              </w:rPr>
            </w:pPr>
            <w:r>
              <w:rPr>
                <w:rFonts w:hint="eastAsia" w:ascii="宋体" w:hAnsi="宋体" w:eastAsia="宋体" w:cs="宋体"/>
                <w:color w:val="auto"/>
                <w:sz w:val="24"/>
                <w:highlight w:val="none"/>
                <w:lang w:val="en-US" w:eastAsia="zh-CN"/>
              </w:rPr>
              <w:t>声环境现状监测与评价</w:t>
            </w:r>
          </w:p>
          <w:p w14:paraId="4CEAF739">
            <w:pPr>
              <w:keepNext w:val="0"/>
              <w:keepLines w:val="0"/>
              <w:pageBreakBefore w:val="0"/>
              <w:widowControl w:val="0"/>
              <w:shd w:val="clear"/>
              <w:kinsoku/>
              <w:wordWrap/>
              <w:overflowPunct/>
              <w:topLinePunct w:val="0"/>
              <w:autoSpaceDE/>
              <w:autoSpaceDN/>
              <w:bidi w:val="0"/>
              <w:adjustRightInd w:val="0"/>
              <w:snapToGrid w:val="0"/>
              <w:spacing w:line="360" w:lineRule="auto"/>
              <w:ind w:left="0" w:right="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本次评价委托</w:t>
            </w:r>
            <w:r>
              <w:rPr>
                <w:rFonts w:hint="eastAsia" w:ascii="宋体" w:hAnsi="宋体" w:eastAsia="宋体" w:cs="宋体"/>
                <w:color w:val="auto"/>
                <w:sz w:val="24"/>
                <w:highlight w:val="none"/>
                <w:lang w:eastAsia="zh-CN"/>
              </w:rPr>
              <w:t>黑龙江汉风环境检测技术有限公司</w:t>
            </w:r>
            <w:r>
              <w:rPr>
                <w:rFonts w:hint="eastAsia" w:ascii="宋体" w:hAnsi="宋体" w:eastAsia="宋体" w:cs="宋体"/>
                <w:color w:val="auto"/>
                <w:sz w:val="24"/>
                <w:highlight w:val="none"/>
              </w:rPr>
              <w:t>于202</w:t>
            </w:r>
            <w:r>
              <w:rPr>
                <w:rFonts w:hint="eastAsia" w:ascii="宋体" w:hAnsi="宋体" w:eastAsia="宋体" w:cs="宋体"/>
                <w:color w:val="auto"/>
                <w:sz w:val="24"/>
                <w:highlight w:val="none"/>
                <w:lang w:val="en-US" w:eastAsia="zh-CN"/>
              </w:rPr>
              <w:t>5</w:t>
            </w:r>
            <w:r>
              <w:rPr>
                <w:rFonts w:hint="eastAsia" w:ascii="宋体" w:hAnsi="宋体" w:eastAsia="宋体" w:cs="宋体"/>
                <w:color w:val="auto"/>
                <w:sz w:val="24"/>
                <w:highlight w:val="none"/>
              </w:rPr>
              <w:t>年</w:t>
            </w:r>
            <w:r>
              <w:rPr>
                <w:rFonts w:hint="eastAsia" w:ascii="宋体" w:hAnsi="宋体" w:eastAsia="宋体" w:cs="宋体"/>
                <w:color w:val="auto"/>
                <w:sz w:val="24"/>
                <w:highlight w:val="none"/>
                <w:lang w:val="en-US" w:eastAsia="zh-CN"/>
              </w:rPr>
              <w:t>11</w:t>
            </w:r>
            <w:r>
              <w:rPr>
                <w:rFonts w:hint="eastAsia" w:ascii="宋体" w:hAnsi="宋体" w:eastAsia="宋体" w:cs="宋体"/>
                <w:color w:val="auto"/>
                <w:sz w:val="24"/>
                <w:highlight w:val="none"/>
              </w:rPr>
              <w:t>月</w:t>
            </w:r>
            <w:r>
              <w:rPr>
                <w:rFonts w:hint="eastAsia" w:ascii="宋体" w:hAnsi="宋体" w:eastAsia="宋体" w:cs="宋体"/>
                <w:color w:val="auto"/>
                <w:sz w:val="24"/>
                <w:highlight w:val="none"/>
                <w:lang w:val="en-US" w:eastAsia="zh-CN"/>
              </w:rPr>
              <w:t>18</w:t>
            </w:r>
            <w:r>
              <w:rPr>
                <w:rFonts w:hint="eastAsia" w:ascii="宋体" w:hAnsi="宋体" w:eastAsia="宋体" w:cs="宋体"/>
                <w:color w:val="auto"/>
                <w:sz w:val="24"/>
                <w:highlight w:val="none"/>
              </w:rPr>
              <w:t>日</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19日</w:t>
            </w:r>
            <w:r>
              <w:rPr>
                <w:rFonts w:hint="eastAsia" w:ascii="宋体" w:hAnsi="宋体" w:eastAsia="宋体" w:cs="宋体"/>
                <w:color w:val="auto"/>
                <w:sz w:val="24"/>
                <w:highlight w:val="none"/>
              </w:rPr>
              <w:t>对该项目</w:t>
            </w:r>
            <w:r>
              <w:rPr>
                <w:rFonts w:hint="eastAsia" w:ascii="宋体" w:hAnsi="宋体" w:eastAsia="宋体" w:cs="宋体"/>
                <w:color w:val="auto"/>
                <w:highlight w:val="none"/>
                <w:lang w:val="en-US" w:eastAsia="zh-CN"/>
              </w:rPr>
              <w:t>声环境保护目标处声环境</w:t>
            </w:r>
            <w:r>
              <w:rPr>
                <w:rFonts w:hint="eastAsia" w:ascii="宋体" w:hAnsi="宋体" w:eastAsia="宋体" w:cs="宋体"/>
                <w:color w:val="auto"/>
                <w:highlight w:val="none"/>
              </w:rPr>
              <w:t>质量进行监测。</w:t>
            </w:r>
          </w:p>
          <w:p w14:paraId="7C2A7646">
            <w:pPr>
              <w:shd w:val="clear"/>
              <w:rPr>
                <w:rFonts w:hint="eastAsia" w:ascii="宋体" w:hAnsi="宋体" w:eastAsia="宋体" w:cs="宋体"/>
                <w:color w:val="auto"/>
                <w:highlight w:val="none"/>
              </w:rPr>
            </w:pPr>
            <w:r>
              <w:rPr>
                <w:rFonts w:hint="eastAsia" w:cs="宋体"/>
                <w:color w:val="auto"/>
                <w:highlight w:val="none"/>
                <w:lang w:eastAsia="zh-CN"/>
              </w:rPr>
              <w:t>1.</w:t>
            </w:r>
            <w:r>
              <w:rPr>
                <w:rFonts w:hint="eastAsia" w:ascii="宋体" w:hAnsi="宋体" w:eastAsia="宋体" w:cs="宋体"/>
                <w:color w:val="auto"/>
                <w:highlight w:val="none"/>
              </w:rPr>
              <w:t>现状监测</w:t>
            </w:r>
          </w:p>
          <w:p w14:paraId="626B7318">
            <w:pPr>
              <w:shd w:val="clear"/>
              <w:rPr>
                <w:rFonts w:hint="eastAsia" w:ascii="宋体" w:hAnsi="宋体" w:eastAsia="宋体" w:cs="宋体"/>
                <w:color w:val="auto"/>
                <w:highlight w:val="none"/>
              </w:rPr>
            </w:pPr>
            <w:r>
              <w:rPr>
                <w:rFonts w:hint="eastAsia" w:ascii="宋体" w:hAnsi="宋体" w:eastAsia="宋体" w:cs="宋体"/>
                <w:color w:val="auto"/>
                <w:highlight w:val="none"/>
              </w:rPr>
              <w:t>（1）监测内容</w:t>
            </w:r>
          </w:p>
          <w:p w14:paraId="5E73FFF8">
            <w:pPr>
              <w:shd w:val="clear"/>
              <w:rPr>
                <w:rFonts w:hint="default" w:ascii="宋体" w:hAnsi="宋体" w:eastAsia="宋体" w:cs="宋体"/>
                <w:color w:val="auto"/>
                <w:highlight w:val="none"/>
                <w:lang w:val="en-US" w:eastAsia="zh-CN"/>
              </w:rPr>
            </w:pPr>
            <w:r>
              <w:rPr>
                <w:rFonts w:hint="eastAsia"/>
                <w:highlight w:val="none"/>
                <w:lang w:val="en-US" w:eastAsia="zh-CN"/>
              </w:rPr>
              <w:t>对厂界四侧声环境现状监测。</w:t>
            </w:r>
          </w:p>
          <w:p w14:paraId="74E3B432">
            <w:pPr>
              <w:shd w:val="clea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（2）监测方法</w:t>
            </w:r>
          </w:p>
          <w:p w14:paraId="20209E8B">
            <w:pPr>
              <w:shd w:val="clea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采用《声环境质量标准》（GB3096-2008）中测量方法进行监测，监测时间为202</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年</w:t>
            </w:r>
            <w:r>
              <w:rPr>
                <w:rFonts w:hint="eastAsia" w:ascii="宋体" w:hAnsi="宋体" w:eastAsia="宋体" w:cs="宋体"/>
                <w:color w:val="auto"/>
                <w:highlight w:val="none"/>
                <w:lang w:val="en-US" w:eastAsia="zh-CN"/>
              </w:rPr>
              <w:t>11</w:t>
            </w:r>
            <w:r>
              <w:rPr>
                <w:rFonts w:hint="eastAsia" w:ascii="宋体" w:hAnsi="宋体" w:eastAsia="宋体" w:cs="宋体"/>
                <w:color w:val="auto"/>
                <w:highlight w:val="none"/>
              </w:rPr>
              <w:t>月</w:t>
            </w:r>
            <w:r>
              <w:rPr>
                <w:rFonts w:hint="eastAsia" w:ascii="宋体" w:hAnsi="宋体" w:eastAsia="宋体" w:cs="宋体"/>
                <w:color w:val="auto"/>
                <w:highlight w:val="none"/>
                <w:lang w:val="en-US" w:eastAsia="zh-CN"/>
              </w:rPr>
              <w:t>18</w:t>
            </w:r>
            <w:r>
              <w:rPr>
                <w:rFonts w:hint="eastAsia" w:ascii="宋体" w:hAnsi="宋体" w:eastAsia="宋体" w:cs="宋体"/>
                <w:color w:val="auto"/>
                <w:highlight w:val="none"/>
              </w:rPr>
              <w:t>日--</w:t>
            </w:r>
            <w:r>
              <w:rPr>
                <w:rFonts w:hint="eastAsia" w:ascii="宋体" w:hAnsi="宋体" w:eastAsia="宋体" w:cs="宋体"/>
                <w:color w:val="auto"/>
                <w:highlight w:val="none"/>
                <w:lang w:val="en-US" w:eastAsia="zh-CN"/>
              </w:rPr>
              <w:t>11</w:t>
            </w:r>
            <w:r>
              <w:rPr>
                <w:rFonts w:hint="eastAsia" w:ascii="宋体" w:hAnsi="宋体" w:eastAsia="宋体" w:cs="宋体"/>
                <w:color w:val="auto"/>
                <w:highlight w:val="none"/>
              </w:rPr>
              <w:t>月</w:t>
            </w:r>
            <w:r>
              <w:rPr>
                <w:rFonts w:hint="eastAsia" w:ascii="宋体" w:hAnsi="宋体" w:eastAsia="宋体" w:cs="宋体"/>
                <w:color w:val="auto"/>
                <w:highlight w:val="none"/>
                <w:lang w:val="en-US" w:eastAsia="zh-CN"/>
              </w:rPr>
              <w:t>19</w:t>
            </w:r>
            <w:r>
              <w:rPr>
                <w:rFonts w:hint="eastAsia" w:ascii="宋体" w:hAnsi="宋体" w:eastAsia="宋体" w:cs="宋体"/>
                <w:color w:val="auto"/>
                <w:highlight w:val="none"/>
              </w:rPr>
              <w:t>日，昼夜各</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lang w:eastAsia="zh-CN"/>
              </w:rPr>
              <w:t>次</w:t>
            </w:r>
            <w:r>
              <w:rPr>
                <w:rFonts w:hint="eastAsia" w:ascii="宋体" w:hAnsi="宋体" w:eastAsia="宋体" w:cs="宋体"/>
                <w:color w:val="auto"/>
                <w:highlight w:val="none"/>
              </w:rPr>
              <w:t>。</w:t>
            </w:r>
          </w:p>
          <w:p w14:paraId="339DE600">
            <w:pPr>
              <w:shd w:val="clear"/>
              <w:rPr>
                <w:rFonts w:hint="eastAsia" w:ascii="宋体" w:hAnsi="宋体" w:eastAsia="宋体" w:cs="宋体"/>
                <w:color w:val="auto"/>
                <w:highlight w:val="none"/>
              </w:rPr>
            </w:pPr>
            <w:r>
              <w:rPr>
                <w:rFonts w:hint="eastAsia" w:ascii="宋体" w:hAnsi="宋体" w:eastAsia="宋体" w:cs="宋体"/>
                <w:color w:val="auto"/>
                <w:highlight w:val="none"/>
              </w:rPr>
              <w:t>（3）监测点布设</w:t>
            </w:r>
          </w:p>
          <w:p w14:paraId="09ED6B4C">
            <w:pPr>
              <w:shd w:val="clear"/>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在</w:t>
            </w:r>
            <w:r>
              <w:rPr>
                <w:rFonts w:hint="eastAsia" w:ascii="宋体" w:hAnsi="宋体" w:eastAsia="宋体" w:cs="宋体"/>
                <w:color w:val="auto"/>
                <w:highlight w:val="none"/>
              </w:rPr>
              <w:t>本项目</w:t>
            </w:r>
            <w:r>
              <w:rPr>
                <w:rFonts w:hint="eastAsia" w:ascii="宋体" w:hAnsi="宋体" w:eastAsia="宋体" w:cs="宋体"/>
                <w:color w:val="auto"/>
                <w:highlight w:val="none"/>
                <w:lang w:val="en-US" w:eastAsia="zh-CN"/>
              </w:rPr>
              <w:t>厂界4侧各设1</w:t>
            </w:r>
            <w:r>
              <w:rPr>
                <w:rFonts w:hint="eastAsia" w:ascii="宋体" w:hAnsi="宋体" w:eastAsia="宋体" w:cs="宋体"/>
                <w:color w:val="auto"/>
                <w:highlight w:val="none"/>
              </w:rPr>
              <w:t>个监测点位，监测点位图见下图。</w:t>
            </w:r>
          </w:p>
          <w:p w14:paraId="5AF9C283">
            <w:pPr>
              <w:shd w:val="clear"/>
              <w:rPr>
                <w:rFonts w:hint="eastAsia" w:ascii="宋体" w:hAnsi="宋体" w:eastAsia="宋体" w:cs="宋体"/>
                <w:color w:val="auto"/>
                <w:highlight w:val="none"/>
              </w:rPr>
            </w:pPr>
            <w:r>
              <w:rPr>
                <w:rFonts w:hint="eastAsia" w:ascii="宋体" w:hAnsi="宋体" w:eastAsia="宋体" w:cs="宋体"/>
                <w:color w:val="auto"/>
                <w:highlight w:val="none"/>
              </w:rPr>
              <w:t>（4）监测结果</w:t>
            </w:r>
          </w:p>
          <w:p w14:paraId="4E920882">
            <w:pPr>
              <w:pStyle w:val="117"/>
              <w:shd w:val="clear"/>
              <w:ind w:firstLine="480"/>
              <w:rPr>
                <w:rFonts w:hint="eastAsia" w:ascii="宋体" w:hAnsi="宋体" w:eastAsia="宋体" w:cs="宋体"/>
                <w:color w:val="auto"/>
                <w:sz w:val="24"/>
                <w:highlight w:val="none"/>
              </w:rPr>
            </w:pPr>
            <w:r>
              <w:rPr>
                <w:rFonts w:hint="eastAsia" w:ascii="宋体" w:hAnsi="宋体" w:eastAsia="宋体" w:cs="宋体"/>
                <w:color w:val="auto"/>
                <w:highlight w:val="none"/>
              </w:rPr>
              <w:t>现状监测结果分析见下表。</w:t>
            </w:r>
          </w:p>
          <w:p w14:paraId="3B7C50D5">
            <w:pPr>
              <w:pStyle w:val="117"/>
              <w:shd w:val="clear"/>
              <w:spacing w:line="240" w:lineRule="auto"/>
              <w:ind w:left="0" w:leftChars="0" w:firstLine="0" w:firstLineChars="0"/>
              <w:jc w:val="center"/>
              <w:rPr>
                <w:rFonts w:hint="eastAsia" w:ascii="宋体" w:hAnsi="宋体" w:eastAsia="宋体" w:cs="宋体"/>
                <w:color w:val="auto"/>
                <w:sz w:val="21"/>
                <w:szCs w:val="21"/>
                <w:highlight w:val="none"/>
                <w:lang w:val="en-US"/>
              </w:rPr>
            </w:pPr>
            <w:r>
              <w:rPr>
                <w:rFonts w:hint="eastAsia" w:ascii="宋体" w:hAnsi="宋体" w:eastAsia="宋体" w:cs="宋体"/>
                <w:b/>
                <w:bCs/>
                <w:color w:val="auto"/>
                <w:kern w:val="2"/>
                <w:sz w:val="21"/>
                <w:szCs w:val="21"/>
                <w:highlight w:val="none"/>
              </w:rPr>
              <w:t>表3-</w:t>
            </w:r>
            <w:r>
              <w:rPr>
                <w:rFonts w:hint="eastAsia" w:ascii="宋体" w:hAnsi="宋体" w:eastAsia="宋体" w:cs="宋体"/>
                <w:b/>
                <w:bCs/>
                <w:color w:val="auto"/>
                <w:kern w:val="2"/>
                <w:sz w:val="21"/>
                <w:szCs w:val="21"/>
                <w:highlight w:val="none"/>
                <w:lang w:val="en-US" w:eastAsia="zh-CN"/>
              </w:rPr>
              <w:t>2</w:t>
            </w:r>
            <w:r>
              <w:rPr>
                <w:rFonts w:hint="eastAsia" w:ascii="宋体" w:hAnsi="宋体" w:eastAsia="宋体" w:cs="宋体"/>
                <w:b/>
                <w:bCs/>
                <w:color w:val="auto"/>
                <w:kern w:val="2"/>
                <w:sz w:val="21"/>
                <w:szCs w:val="21"/>
                <w:highlight w:val="none"/>
              </w:rPr>
              <w:t xml:space="preserve">  </w:t>
            </w:r>
            <w:r>
              <w:rPr>
                <w:rFonts w:hint="eastAsia" w:ascii="宋体" w:hAnsi="宋体" w:eastAsia="宋体" w:cs="宋体"/>
                <w:b/>
                <w:bCs/>
                <w:color w:val="auto"/>
                <w:kern w:val="2"/>
                <w:sz w:val="21"/>
                <w:szCs w:val="21"/>
                <w:highlight w:val="none"/>
                <w:lang w:val="en-US" w:eastAsia="zh-CN" w:bidi="ar-SA"/>
              </w:rPr>
              <w:t>声环境现状监测结果一览表</w:t>
            </w:r>
          </w:p>
          <w:tbl>
            <w:tblPr>
              <w:tblStyle w:val="3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0"/>
              <w:gridCol w:w="1476"/>
              <w:gridCol w:w="1497"/>
              <w:gridCol w:w="1664"/>
              <w:gridCol w:w="1525"/>
            </w:tblGrid>
            <w:tr w14:paraId="3C363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vMerge w:val="restart"/>
                  <w:tcBorders>
                    <w:tl2br w:val="nil"/>
                    <w:tr2bl w:val="nil"/>
                  </w:tcBorders>
                  <w:noWrap w:val="0"/>
                  <w:vAlign w:val="center"/>
                </w:tcPr>
                <w:p w14:paraId="0431C964">
                  <w:pPr>
                    <w:keepNext w:val="0"/>
                    <w:keepLines w:val="0"/>
                    <w:pageBreakBefore w:val="0"/>
                    <w:widowControl w:val="0"/>
                    <w:numPr>
                      <w:ilvl w:val="0"/>
                      <w:numId w:val="0"/>
                    </w:numPr>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监测点位</w:t>
                  </w:r>
                </w:p>
              </w:tc>
              <w:tc>
                <w:tcPr>
                  <w:tcW w:w="3928" w:type="pct"/>
                  <w:gridSpan w:val="4"/>
                  <w:tcBorders>
                    <w:tl2br w:val="nil"/>
                    <w:tr2bl w:val="nil"/>
                  </w:tcBorders>
                  <w:noWrap w:val="0"/>
                  <w:vAlign w:val="center"/>
                </w:tcPr>
                <w:p w14:paraId="4FFA33B3">
                  <w:pPr>
                    <w:keepNext w:val="0"/>
                    <w:keepLines w:val="0"/>
                    <w:pageBreakBefore w:val="0"/>
                    <w:widowControl w:val="0"/>
                    <w:numPr>
                      <w:ilvl w:val="0"/>
                      <w:numId w:val="0"/>
                    </w:numPr>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检测结果</w:t>
                  </w:r>
                </w:p>
              </w:tc>
            </w:tr>
            <w:tr w14:paraId="07E22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vMerge w:val="continue"/>
                  <w:tcBorders>
                    <w:tl2br w:val="nil"/>
                    <w:tr2bl w:val="nil"/>
                  </w:tcBorders>
                  <w:noWrap w:val="0"/>
                  <w:vAlign w:val="center"/>
                </w:tcPr>
                <w:p w14:paraId="75B8A742">
                  <w:pPr>
                    <w:keepNext w:val="0"/>
                    <w:keepLines w:val="0"/>
                    <w:pageBreakBefore w:val="0"/>
                    <w:widowControl w:val="0"/>
                    <w:numPr>
                      <w:ilvl w:val="0"/>
                      <w:numId w:val="0"/>
                    </w:numPr>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1895" w:type="pct"/>
                  <w:gridSpan w:val="2"/>
                  <w:tcBorders>
                    <w:tl2br w:val="nil"/>
                    <w:tr2bl w:val="nil"/>
                  </w:tcBorders>
                  <w:noWrap w:val="0"/>
                  <w:vAlign w:val="center"/>
                </w:tcPr>
                <w:p w14:paraId="410161C1">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2025.11.18</w:t>
                  </w:r>
                </w:p>
              </w:tc>
              <w:tc>
                <w:tcPr>
                  <w:tcW w:w="2033" w:type="pct"/>
                  <w:gridSpan w:val="2"/>
                  <w:tcBorders>
                    <w:tl2br w:val="nil"/>
                    <w:tr2bl w:val="nil"/>
                  </w:tcBorders>
                  <w:noWrap w:val="0"/>
                  <w:vAlign w:val="center"/>
                </w:tcPr>
                <w:p w14:paraId="267FF6C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vertAlign w:val="baseline"/>
                      <w:lang w:val="en-US" w:eastAsia="zh-CN"/>
                    </w:rPr>
                    <w:t>2025.11.19</w:t>
                  </w:r>
                </w:p>
              </w:tc>
            </w:tr>
            <w:tr w14:paraId="4D954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vMerge w:val="continue"/>
                  <w:tcBorders>
                    <w:tl2br w:val="nil"/>
                    <w:tr2bl w:val="nil"/>
                  </w:tcBorders>
                  <w:noWrap w:val="0"/>
                  <w:vAlign w:val="center"/>
                </w:tcPr>
                <w:p w14:paraId="2F4F0700">
                  <w:pPr>
                    <w:keepNext w:val="0"/>
                    <w:keepLines w:val="0"/>
                    <w:pageBreakBefore w:val="0"/>
                    <w:widowControl w:val="0"/>
                    <w:numPr>
                      <w:ilvl w:val="0"/>
                      <w:numId w:val="0"/>
                    </w:numPr>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41" w:type="pct"/>
                  <w:tcBorders>
                    <w:tl2br w:val="nil"/>
                    <w:tr2bl w:val="nil"/>
                  </w:tcBorders>
                  <w:noWrap w:val="0"/>
                  <w:vAlign w:val="center"/>
                </w:tcPr>
                <w:p w14:paraId="1F895F92">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rPr>
                    <w:t>昼间dB（A）</w:t>
                  </w:r>
                </w:p>
              </w:tc>
              <w:tc>
                <w:tcPr>
                  <w:tcW w:w="953" w:type="pct"/>
                  <w:tcBorders>
                    <w:tl2br w:val="nil"/>
                    <w:tr2bl w:val="nil"/>
                  </w:tcBorders>
                  <w:noWrap w:val="0"/>
                  <w:vAlign w:val="center"/>
                </w:tcPr>
                <w:p w14:paraId="184E92A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rPr>
                    <w:t>夜间dB（A）</w:t>
                  </w:r>
                </w:p>
              </w:tc>
              <w:tc>
                <w:tcPr>
                  <w:tcW w:w="1061" w:type="pct"/>
                  <w:tcBorders>
                    <w:tl2br w:val="nil"/>
                    <w:tr2bl w:val="nil"/>
                  </w:tcBorders>
                  <w:noWrap w:val="0"/>
                  <w:vAlign w:val="center"/>
                </w:tcPr>
                <w:p w14:paraId="1544C039">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昼间dB（A）</w:t>
                  </w:r>
                </w:p>
              </w:tc>
              <w:tc>
                <w:tcPr>
                  <w:tcW w:w="972" w:type="pct"/>
                  <w:tcBorders>
                    <w:tl2br w:val="nil"/>
                    <w:tr2bl w:val="nil"/>
                  </w:tcBorders>
                  <w:noWrap w:val="0"/>
                  <w:vAlign w:val="center"/>
                </w:tcPr>
                <w:p w14:paraId="4A8374BD">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夜间dB（A）</w:t>
                  </w:r>
                </w:p>
              </w:tc>
            </w:tr>
            <w:tr w14:paraId="39AB6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noWrap w:val="0"/>
                  <w:vAlign w:val="center"/>
                </w:tcPr>
                <w:p w14:paraId="278B30D3">
                  <w:pPr>
                    <w:pStyle w:val="101"/>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eastAsia" w:ascii="宋体" w:hAnsi="宋体" w:eastAsia="宋体" w:cs="宋体"/>
                      <w:color w:val="auto"/>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lang w:val="en-US" w:eastAsia="zh-CN"/>
                    </w:rPr>
                    <w:t>厂界东</w:t>
                  </w:r>
                  <w:r>
                    <w:rPr>
                      <w:rFonts w:hint="default" w:ascii="Times New Roman" w:hAnsi="Times New Roman" w:eastAsia="宋体" w:cs="宋体"/>
                      <w:caps w:val="0"/>
                      <w:color w:val="auto"/>
                      <w:spacing w:val="0"/>
                      <w:sz w:val="21"/>
                      <w:szCs w:val="21"/>
                      <w:highlight w:val="none"/>
                    </w:rPr>
                    <w:t>侧外1m</w:t>
                  </w:r>
                </w:p>
              </w:tc>
              <w:tc>
                <w:tcPr>
                  <w:tcW w:w="941" w:type="pct"/>
                  <w:tcBorders>
                    <w:tl2br w:val="nil"/>
                    <w:tr2bl w:val="nil"/>
                  </w:tcBorders>
                  <w:noWrap w:val="0"/>
                  <w:vAlign w:val="center"/>
                </w:tcPr>
                <w:p w14:paraId="511AEBD8">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53</w:t>
                  </w:r>
                </w:p>
              </w:tc>
              <w:tc>
                <w:tcPr>
                  <w:tcW w:w="953" w:type="pct"/>
                  <w:tcBorders>
                    <w:tl2br w:val="nil"/>
                    <w:tr2bl w:val="nil"/>
                  </w:tcBorders>
                  <w:noWrap w:val="0"/>
                  <w:vAlign w:val="center"/>
                </w:tcPr>
                <w:p w14:paraId="765AF85B">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45</w:t>
                  </w:r>
                </w:p>
              </w:tc>
              <w:tc>
                <w:tcPr>
                  <w:tcW w:w="1061" w:type="pct"/>
                  <w:tcBorders>
                    <w:tl2br w:val="nil"/>
                    <w:tr2bl w:val="nil"/>
                  </w:tcBorders>
                  <w:noWrap w:val="0"/>
                  <w:vAlign w:val="center"/>
                </w:tcPr>
                <w:p w14:paraId="00D417AB">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53</w:t>
                  </w:r>
                </w:p>
              </w:tc>
              <w:tc>
                <w:tcPr>
                  <w:tcW w:w="972" w:type="pct"/>
                  <w:tcBorders>
                    <w:tl2br w:val="nil"/>
                    <w:tr2bl w:val="nil"/>
                  </w:tcBorders>
                  <w:noWrap w:val="0"/>
                  <w:vAlign w:val="center"/>
                </w:tcPr>
                <w:p w14:paraId="6CA9FA2A">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45</w:t>
                  </w:r>
                </w:p>
              </w:tc>
            </w:tr>
            <w:tr w14:paraId="03EEB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noWrap w:val="0"/>
                  <w:vAlign w:val="center"/>
                </w:tcPr>
                <w:p w14:paraId="51CBD1A6">
                  <w:pPr>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eastAsia" w:ascii="宋体" w:hAnsi="宋体" w:eastAsia="宋体" w:cs="宋体"/>
                      <w:color w:val="auto"/>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lang w:val="en-US" w:eastAsia="zh-CN"/>
                    </w:rPr>
                    <w:t>厂界南</w:t>
                  </w:r>
                  <w:r>
                    <w:rPr>
                      <w:rFonts w:hint="default" w:ascii="Times New Roman" w:hAnsi="Times New Roman" w:eastAsia="宋体" w:cs="宋体"/>
                      <w:caps w:val="0"/>
                      <w:color w:val="auto"/>
                      <w:spacing w:val="0"/>
                      <w:sz w:val="21"/>
                      <w:szCs w:val="21"/>
                      <w:highlight w:val="none"/>
                    </w:rPr>
                    <w:t>侧外1m</w:t>
                  </w:r>
                </w:p>
              </w:tc>
              <w:tc>
                <w:tcPr>
                  <w:tcW w:w="941" w:type="pct"/>
                  <w:tcBorders>
                    <w:tl2br w:val="nil"/>
                    <w:tr2bl w:val="nil"/>
                  </w:tcBorders>
                  <w:noWrap w:val="0"/>
                  <w:vAlign w:val="center"/>
                </w:tcPr>
                <w:p w14:paraId="08B6147F">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54</w:t>
                  </w:r>
                </w:p>
              </w:tc>
              <w:tc>
                <w:tcPr>
                  <w:tcW w:w="953" w:type="pct"/>
                  <w:tcBorders>
                    <w:tl2br w:val="nil"/>
                    <w:tr2bl w:val="nil"/>
                  </w:tcBorders>
                  <w:noWrap w:val="0"/>
                  <w:vAlign w:val="center"/>
                </w:tcPr>
                <w:p w14:paraId="43088E55">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46</w:t>
                  </w:r>
                </w:p>
              </w:tc>
              <w:tc>
                <w:tcPr>
                  <w:tcW w:w="1061" w:type="pct"/>
                  <w:tcBorders>
                    <w:tl2br w:val="nil"/>
                    <w:tr2bl w:val="nil"/>
                  </w:tcBorders>
                  <w:noWrap w:val="0"/>
                  <w:vAlign w:val="center"/>
                </w:tcPr>
                <w:p w14:paraId="41B62F35">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53</w:t>
                  </w:r>
                </w:p>
              </w:tc>
              <w:tc>
                <w:tcPr>
                  <w:tcW w:w="972" w:type="pct"/>
                  <w:tcBorders>
                    <w:tl2br w:val="nil"/>
                    <w:tr2bl w:val="nil"/>
                  </w:tcBorders>
                  <w:noWrap w:val="0"/>
                  <w:vAlign w:val="center"/>
                </w:tcPr>
                <w:p w14:paraId="0D3DC699">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46</w:t>
                  </w:r>
                </w:p>
              </w:tc>
            </w:tr>
            <w:tr w14:paraId="03FF3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noWrap w:val="0"/>
                  <w:vAlign w:val="center"/>
                </w:tcPr>
                <w:p w14:paraId="55BA1FF0">
                  <w:pPr>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eastAsia" w:ascii="宋体" w:hAnsi="宋体" w:eastAsia="宋体" w:cs="宋体"/>
                      <w:color w:val="auto"/>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lang w:val="en-US" w:eastAsia="zh-CN"/>
                    </w:rPr>
                    <w:t>厂界西</w:t>
                  </w:r>
                  <w:r>
                    <w:rPr>
                      <w:rFonts w:hint="default" w:ascii="Times New Roman" w:hAnsi="Times New Roman" w:eastAsia="宋体" w:cs="宋体"/>
                      <w:caps w:val="0"/>
                      <w:color w:val="auto"/>
                      <w:spacing w:val="0"/>
                      <w:sz w:val="21"/>
                      <w:szCs w:val="21"/>
                      <w:highlight w:val="none"/>
                    </w:rPr>
                    <w:t>侧外1m</w:t>
                  </w:r>
                </w:p>
              </w:tc>
              <w:tc>
                <w:tcPr>
                  <w:tcW w:w="941" w:type="pct"/>
                  <w:tcBorders>
                    <w:tl2br w:val="nil"/>
                    <w:tr2bl w:val="nil"/>
                  </w:tcBorders>
                  <w:noWrap w:val="0"/>
                  <w:vAlign w:val="center"/>
                </w:tcPr>
                <w:p w14:paraId="053BE027">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55</w:t>
                  </w:r>
                </w:p>
              </w:tc>
              <w:tc>
                <w:tcPr>
                  <w:tcW w:w="953" w:type="pct"/>
                  <w:tcBorders>
                    <w:tl2br w:val="nil"/>
                    <w:tr2bl w:val="nil"/>
                  </w:tcBorders>
                  <w:noWrap w:val="0"/>
                  <w:vAlign w:val="center"/>
                </w:tcPr>
                <w:p w14:paraId="27CA25AE">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47</w:t>
                  </w:r>
                </w:p>
              </w:tc>
              <w:tc>
                <w:tcPr>
                  <w:tcW w:w="1061" w:type="pct"/>
                  <w:tcBorders>
                    <w:tl2br w:val="nil"/>
                    <w:tr2bl w:val="nil"/>
                  </w:tcBorders>
                  <w:noWrap w:val="0"/>
                  <w:vAlign w:val="center"/>
                </w:tcPr>
                <w:p w14:paraId="21D98A05">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55</w:t>
                  </w:r>
                </w:p>
              </w:tc>
              <w:tc>
                <w:tcPr>
                  <w:tcW w:w="972" w:type="pct"/>
                  <w:tcBorders>
                    <w:tl2br w:val="nil"/>
                    <w:tr2bl w:val="nil"/>
                  </w:tcBorders>
                  <w:noWrap w:val="0"/>
                  <w:vAlign w:val="center"/>
                </w:tcPr>
                <w:p w14:paraId="5AECE312">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46</w:t>
                  </w:r>
                </w:p>
              </w:tc>
            </w:tr>
            <w:tr w14:paraId="521ED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noWrap w:val="0"/>
                  <w:vAlign w:val="center"/>
                </w:tcPr>
                <w:p w14:paraId="383F3D5F">
                  <w:pPr>
                    <w:keepNext w:val="0"/>
                    <w:keepLines w:val="0"/>
                    <w:pageBreakBefore w:val="0"/>
                    <w:kinsoku/>
                    <w:wordWrap/>
                    <w:overflowPunct/>
                    <w:topLinePunct w:val="0"/>
                    <w:autoSpaceDE w:val="0"/>
                    <w:autoSpaceDN w:val="0"/>
                    <w:bidi w:val="0"/>
                    <w:adjustRightInd w:val="0"/>
                    <w:snapToGrid w:val="0"/>
                    <w:spacing w:line="240" w:lineRule="auto"/>
                    <w:ind w:right="0" w:rightChars="0" w:firstLine="0" w:firstLineChars="0"/>
                    <w:jc w:val="center"/>
                    <w:textAlignment w:val="bottom"/>
                    <w:rPr>
                      <w:rFonts w:hint="eastAsia" w:ascii="宋体" w:hAnsi="宋体" w:eastAsia="宋体" w:cs="宋体"/>
                      <w:color w:val="auto"/>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lang w:val="en-US" w:eastAsia="zh-CN"/>
                    </w:rPr>
                    <w:t>厂界北</w:t>
                  </w:r>
                  <w:r>
                    <w:rPr>
                      <w:rFonts w:hint="default" w:ascii="Times New Roman" w:hAnsi="Times New Roman" w:eastAsia="宋体" w:cs="宋体"/>
                      <w:caps w:val="0"/>
                      <w:color w:val="auto"/>
                      <w:spacing w:val="0"/>
                      <w:sz w:val="21"/>
                      <w:szCs w:val="21"/>
                      <w:highlight w:val="none"/>
                    </w:rPr>
                    <w:t>侧外1m</w:t>
                  </w:r>
                </w:p>
              </w:tc>
              <w:tc>
                <w:tcPr>
                  <w:tcW w:w="941" w:type="pct"/>
                  <w:tcBorders>
                    <w:tl2br w:val="nil"/>
                    <w:tr2bl w:val="nil"/>
                  </w:tcBorders>
                  <w:noWrap w:val="0"/>
                  <w:vAlign w:val="center"/>
                </w:tcPr>
                <w:p w14:paraId="5366B3B5">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52</w:t>
                  </w:r>
                </w:p>
              </w:tc>
              <w:tc>
                <w:tcPr>
                  <w:tcW w:w="953" w:type="pct"/>
                  <w:tcBorders>
                    <w:tl2br w:val="nil"/>
                    <w:tr2bl w:val="nil"/>
                  </w:tcBorders>
                  <w:noWrap w:val="0"/>
                  <w:vAlign w:val="center"/>
                </w:tcPr>
                <w:p w14:paraId="164BF3EC">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44</w:t>
                  </w:r>
                </w:p>
              </w:tc>
              <w:tc>
                <w:tcPr>
                  <w:tcW w:w="1061" w:type="pct"/>
                  <w:tcBorders>
                    <w:tl2br w:val="nil"/>
                    <w:tr2bl w:val="nil"/>
                  </w:tcBorders>
                  <w:noWrap w:val="0"/>
                  <w:vAlign w:val="center"/>
                </w:tcPr>
                <w:p w14:paraId="14A50CAA">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51</w:t>
                  </w:r>
                </w:p>
              </w:tc>
              <w:tc>
                <w:tcPr>
                  <w:tcW w:w="972" w:type="pct"/>
                  <w:tcBorders>
                    <w:tl2br w:val="nil"/>
                    <w:tr2bl w:val="nil"/>
                  </w:tcBorders>
                  <w:noWrap w:val="0"/>
                  <w:vAlign w:val="center"/>
                </w:tcPr>
                <w:p w14:paraId="7720DD34">
                  <w:pPr>
                    <w:keepNext w:val="0"/>
                    <w:keepLines w:val="0"/>
                    <w:pageBreakBefore w:val="0"/>
                    <w:widowControl/>
                    <w:suppressLineNumbers w:val="0"/>
                    <w:kinsoku/>
                    <w:wordWrap/>
                    <w:overflowPunct/>
                    <w:topLinePunct w:val="0"/>
                    <w:bidi w:val="0"/>
                    <w:adjustRightInd w:val="0"/>
                    <w:snapToGrid w:val="0"/>
                    <w:spacing w:line="240" w:lineRule="auto"/>
                    <w:ind w:right="0" w:rightChars="0" w:firstLine="0" w:firstLineChars="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宋体"/>
                      <w:i w:val="0"/>
                      <w:iCs w:val="0"/>
                      <w:caps w:val="0"/>
                      <w:color w:val="000000"/>
                      <w:kern w:val="0"/>
                      <w:sz w:val="21"/>
                      <w:szCs w:val="21"/>
                      <w:highlight w:val="none"/>
                      <w:u w:val="none"/>
                      <w:lang w:val="en-US" w:eastAsia="zh-CN" w:bidi="ar"/>
                    </w:rPr>
                    <w:t>43</w:t>
                  </w:r>
                </w:p>
              </w:tc>
            </w:tr>
          </w:tbl>
          <w:p w14:paraId="07498644">
            <w:pPr>
              <w:pStyle w:val="117"/>
              <w:shd w:val="clear"/>
              <w:ind w:left="0" w:leftChars="0" w:firstLine="0" w:firstLineChars="0"/>
              <w:jc w:val="center"/>
              <w:rPr>
                <w:rFonts w:hint="eastAsia" w:ascii="宋体" w:hAnsi="宋体" w:eastAsia="宋体" w:cs="宋体"/>
                <w:color w:val="auto"/>
                <w:highlight w:val="none"/>
                <w:lang w:val="en-US"/>
              </w:rPr>
            </w:pPr>
            <w:r>
              <w:rPr>
                <w:rFonts w:hint="eastAsia" w:ascii="Times New Roman" w:hAnsi="Times New Roman" w:eastAsia="宋体" w:cs="宋体"/>
                <w:caps w:val="0"/>
                <w:highlight w:val="none"/>
                <w:lang w:eastAsia="zh-CN"/>
              </w:rPr>
              <w:drawing>
                <wp:inline distT="0" distB="0" distL="114300" distR="114300">
                  <wp:extent cx="4933950" cy="3219450"/>
                  <wp:effectExtent l="0" t="0" r="0" b="0"/>
                  <wp:docPr id="41" name="图片 9" descr="e5d894a5-1e5e-4f33-94ea-bea10b80c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descr="e5d894a5-1e5e-4f33-94ea-bea10b80c6b9"/>
                          <pic:cNvPicPr>
                            <a:picLocks noChangeAspect="1"/>
                          </pic:cNvPicPr>
                        </pic:nvPicPr>
                        <pic:blipFill>
                          <a:blip r:embed="rId25"/>
                          <a:stretch>
                            <a:fillRect/>
                          </a:stretch>
                        </pic:blipFill>
                        <pic:spPr>
                          <a:xfrm>
                            <a:off x="0" y="0"/>
                            <a:ext cx="4933950" cy="3219450"/>
                          </a:xfrm>
                          <a:prstGeom prst="rect">
                            <a:avLst/>
                          </a:prstGeom>
                          <a:noFill/>
                          <a:ln>
                            <a:noFill/>
                          </a:ln>
                        </pic:spPr>
                      </pic:pic>
                    </a:graphicData>
                  </a:graphic>
                </wp:inline>
              </w:drawing>
            </w:r>
          </w:p>
          <w:p w14:paraId="2EA1895A">
            <w:pPr>
              <w:pStyle w:val="117"/>
              <w:shd w:val="clear"/>
              <w:ind w:left="0" w:leftChars="0" w:firstLine="0" w:firstLineChars="0"/>
              <w:jc w:val="center"/>
              <w:rPr>
                <w:rFonts w:hint="eastAsia" w:ascii="宋体" w:hAnsi="宋体" w:eastAsia="宋体" w:cs="宋体"/>
                <w:color w:val="auto"/>
                <w:highlight w:val="none"/>
                <w:lang w:val="en-US"/>
              </w:rPr>
            </w:pPr>
            <w:r>
              <w:rPr>
                <w:rFonts w:hint="eastAsia" w:ascii="宋体" w:hAnsi="宋体" w:eastAsia="宋体" w:cs="宋体"/>
                <w:b/>
                <w:color w:val="auto"/>
                <w:sz w:val="21"/>
                <w:szCs w:val="21"/>
                <w:highlight w:val="none"/>
                <w:lang w:val="en-US" w:eastAsia="zh-CN"/>
              </w:rPr>
              <w:t>图3-1  声环境监测点位图</w:t>
            </w:r>
          </w:p>
          <w:p w14:paraId="4D622C8A">
            <w:pPr>
              <w:shd w:val="clear"/>
              <w:autoSpaceDE w:val="0"/>
              <w:autoSpaceDN w:val="0"/>
              <w:rPr>
                <w:rFonts w:hint="eastAsia" w:ascii="宋体" w:hAnsi="宋体" w:eastAsia="宋体" w:cs="宋体"/>
                <w:color w:val="auto"/>
                <w:kern w:val="0"/>
                <w:highlight w:val="none"/>
                <w:lang w:val="zh-CN"/>
              </w:rPr>
            </w:pPr>
            <w:r>
              <w:rPr>
                <w:rFonts w:hint="eastAsia" w:cs="宋体"/>
                <w:color w:val="auto"/>
                <w:kern w:val="0"/>
                <w:highlight w:val="none"/>
                <w:lang w:val="zh-CN"/>
              </w:rPr>
              <w:t>2.</w:t>
            </w:r>
            <w:r>
              <w:rPr>
                <w:rFonts w:hint="eastAsia" w:ascii="宋体" w:hAnsi="宋体" w:eastAsia="宋体" w:cs="宋体"/>
                <w:color w:val="auto"/>
                <w:kern w:val="0"/>
                <w:highlight w:val="none"/>
                <w:lang w:val="zh-CN"/>
              </w:rPr>
              <w:t>现状评价</w:t>
            </w:r>
          </w:p>
          <w:p w14:paraId="58208159">
            <w:pPr>
              <w:shd w:val="clear"/>
              <w:autoSpaceDE w:val="0"/>
              <w:autoSpaceDN w:val="0"/>
              <w:rPr>
                <w:rFonts w:hint="eastAsia" w:ascii="宋体" w:hAnsi="宋体" w:eastAsia="宋体" w:cs="宋体"/>
                <w:color w:val="auto"/>
                <w:kern w:val="0"/>
                <w:highlight w:val="none"/>
                <w:lang w:val="zh-CN"/>
              </w:rPr>
            </w:pPr>
            <w:r>
              <w:rPr>
                <w:rFonts w:hint="eastAsia" w:ascii="宋体" w:hAnsi="宋体" w:eastAsia="宋体" w:cs="宋体"/>
                <w:color w:val="auto"/>
                <w:kern w:val="0"/>
                <w:highlight w:val="none"/>
                <w:lang w:val="zh-CN"/>
              </w:rPr>
              <w:t>（1）评价量</w:t>
            </w:r>
          </w:p>
          <w:p w14:paraId="0CF3B4FA">
            <w:pPr>
              <w:shd w:val="clear"/>
              <w:autoSpaceDE w:val="0"/>
              <w:autoSpaceDN w:val="0"/>
              <w:rPr>
                <w:rFonts w:hint="eastAsia" w:ascii="宋体" w:hAnsi="宋体" w:eastAsia="宋体" w:cs="宋体"/>
                <w:color w:val="auto"/>
                <w:kern w:val="0"/>
                <w:highlight w:val="none"/>
                <w:lang w:val="zh-CN"/>
              </w:rPr>
            </w:pPr>
            <w:r>
              <w:rPr>
                <w:rFonts w:hint="eastAsia" w:ascii="宋体" w:hAnsi="宋体" w:eastAsia="宋体" w:cs="宋体"/>
                <w:color w:val="auto"/>
                <w:kern w:val="0"/>
                <w:highlight w:val="none"/>
                <w:lang w:val="zh-CN"/>
              </w:rPr>
              <w:t>以等效连续A声级Leq作为评价值。</w:t>
            </w:r>
          </w:p>
          <w:p w14:paraId="2F8239F0">
            <w:pPr>
              <w:shd w:val="clear"/>
              <w:autoSpaceDE w:val="0"/>
              <w:autoSpaceDN w:val="0"/>
              <w:rPr>
                <w:rFonts w:hint="eastAsia" w:ascii="宋体" w:hAnsi="宋体" w:eastAsia="宋体" w:cs="宋体"/>
                <w:color w:val="auto"/>
                <w:kern w:val="0"/>
                <w:highlight w:val="none"/>
                <w:lang w:val="zh-CN"/>
              </w:rPr>
            </w:pPr>
            <w:r>
              <w:rPr>
                <w:rFonts w:hint="eastAsia" w:ascii="宋体" w:hAnsi="宋体" w:eastAsia="宋体" w:cs="宋体"/>
                <w:color w:val="auto"/>
                <w:kern w:val="0"/>
                <w:highlight w:val="none"/>
                <w:lang w:val="zh-CN"/>
              </w:rPr>
              <w:t>（2）评价方法</w:t>
            </w:r>
          </w:p>
          <w:p w14:paraId="7D26E31A">
            <w:pPr>
              <w:shd w:val="clear"/>
              <w:autoSpaceDE w:val="0"/>
              <w:autoSpaceDN w:val="0"/>
              <w:rPr>
                <w:rFonts w:hint="eastAsia" w:ascii="宋体" w:hAnsi="宋体" w:eastAsia="宋体" w:cs="宋体"/>
                <w:color w:val="auto"/>
                <w:kern w:val="0"/>
                <w:highlight w:val="none"/>
                <w:lang w:val="zh-CN"/>
              </w:rPr>
            </w:pPr>
            <w:r>
              <w:rPr>
                <w:rFonts w:hint="eastAsia" w:ascii="宋体" w:hAnsi="宋体" w:eastAsia="宋体" w:cs="宋体"/>
                <w:color w:val="auto"/>
                <w:kern w:val="0"/>
                <w:highlight w:val="none"/>
                <w:lang w:val="zh-CN"/>
              </w:rPr>
              <w:t>采用监测值与评价标准直接对比的方法确定声环境现状类别。</w:t>
            </w:r>
          </w:p>
          <w:p w14:paraId="4D0F77D8">
            <w:pPr>
              <w:shd w:val="clear"/>
              <w:autoSpaceDE w:val="0"/>
              <w:autoSpaceDN w:val="0"/>
              <w:rPr>
                <w:rFonts w:hint="eastAsia" w:ascii="宋体" w:hAnsi="宋体" w:eastAsia="宋体" w:cs="宋体"/>
                <w:color w:val="auto"/>
                <w:kern w:val="0"/>
                <w:highlight w:val="none"/>
                <w:lang w:val="zh-CN"/>
              </w:rPr>
            </w:pPr>
            <w:r>
              <w:rPr>
                <w:rFonts w:hint="eastAsia" w:ascii="宋体" w:hAnsi="宋体" w:eastAsia="宋体" w:cs="宋体"/>
                <w:color w:val="auto"/>
                <w:kern w:val="0"/>
                <w:highlight w:val="none"/>
                <w:lang w:val="zh-CN"/>
              </w:rPr>
              <w:t>（3）评价标准</w:t>
            </w:r>
          </w:p>
          <w:p w14:paraId="5FC18891">
            <w:pPr>
              <w:shd w:val="clear"/>
              <w:autoSpaceDE w:val="0"/>
              <w:autoSpaceDN w:val="0"/>
              <w:rPr>
                <w:rFonts w:hint="eastAsia" w:ascii="宋体" w:hAnsi="宋体" w:eastAsia="宋体" w:cs="宋体"/>
                <w:color w:val="auto"/>
                <w:kern w:val="0"/>
                <w:highlight w:val="none"/>
                <w:lang w:val="en-US" w:eastAsia="zh-CN"/>
              </w:rPr>
            </w:pPr>
            <w:r>
              <w:rPr>
                <w:rFonts w:hint="eastAsia" w:ascii="宋体" w:hAnsi="宋体" w:eastAsia="宋体" w:cs="宋体"/>
                <w:color w:val="auto"/>
                <w:kern w:val="0"/>
                <w:highlight w:val="none"/>
                <w:lang w:val="zh-CN"/>
              </w:rPr>
              <w:t>根据本项目所处的声环境功能区划</w:t>
            </w:r>
            <w:r>
              <w:rPr>
                <w:rFonts w:hint="eastAsia" w:ascii="宋体" w:hAnsi="宋体" w:eastAsia="宋体" w:cs="宋体"/>
                <w:color w:val="auto"/>
                <w:kern w:val="0"/>
                <w:highlight w:val="none"/>
              </w:rPr>
              <w:t>执行《声环境质量标准》（GB3096-2008）中2类标准。</w:t>
            </w:r>
          </w:p>
          <w:p w14:paraId="1D6F58F1">
            <w:pPr>
              <w:shd w:val="clear"/>
              <w:autoSpaceDE w:val="0"/>
              <w:autoSpaceDN w:val="0"/>
              <w:rPr>
                <w:rFonts w:hint="eastAsia" w:ascii="宋体" w:hAnsi="宋体" w:eastAsia="宋体" w:cs="宋体"/>
                <w:color w:val="auto"/>
                <w:kern w:val="0"/>
                <w:highlight w:val="none"/>
                <w:lang w:val="zh-CN"/>
              </w:rPr>
            </w:pPr>
            <w:r>
              <w:rPr>
                <w:rFonts w:hint="eastAsia" w:cs="宋体"/>
                <w:color w:val="auto"/>
                <w:kern w:val="0"/>
                <w:highlight w:val="none"/>
                <w:lang w:val="zh-CN"/>
              </w:rPr>
              <w:t>3.</w:t>
            </w:r>
            <w:r>
              <w:rPr>
                <w:rFonts w:hint="eastAsia" w:ascii="宋体" w:hAnsi="宋体" w:eastAsia="宋体" w:cs="宋体"/>
                <w:color w:val="auto"/>
                <w:kern w:val="0"/>
                <w:highlight w:val="none"/>
                <w:lang w:val="zh-CN"/>
              </w:rPr>
              <w:t>评价结论</w:t>
            </w:r>
          </w:p>
          <w:p w14:paraId="5BE719EB">
            <w:pPr>
              <w:adjustRightInd w:val="0"/>
              <w:snapToGrid w:val="0"/>
              <w:spacing w:line="360" w:lineRule="auto"/>
              <w:ind w:firstLine="480" w:firstLineChars="200"/>
              <w:rPr>
                <w:rFonts w:ascii="Times New Roman" w:hAnsi="Times New Roman" w:eastAsia="宋体" w:cs="宋体"/>
                <w:caps w:val="0"/>
                <w:color w:val="auto"/>
                <w:spacing w:val="-3"/>
                <w:sz w:val="24"/>
                <w:szCs w:val="24"/>
                <w:highlight w:val="none"/>
              </w:rPr>
            </w:pPr>
            <w:bookmarkStart w:id="11" w:name="_Hlk481679249"/>
            <w:r>
              <w:rPr>
                <w:rFonts w:hint="eastAsia" w:ascii="宋体" w:hAnsi="宋体" w:eastAsia="宋体" w:cs="宋体"/>
                <w:color w:val="auto"/>
                <w:kern w:val="0"/>
                <w:highlight w:val="none"/>
                <w:lang w:val="zh-CN"/>
              </w:rPr>
              <w:t>根据监测结果分析可知，</w:t>
            </w:r>
            <w:r>
              <w:rPr>
                <w:rFonts w:hint="eastAsia" w:ascii="宋体" w:hAnsi="宋体" w:eastAsia="宋体" w:cs="宋体"/>
                <w:snapToGrid w:val="0"/>
                <w:color w:val="auto"/>
                <w:kern w:val="0"/>
                <w:highlight w:val="none"/>
                <w:lang w:val="en-US" w:eastAsia="zh-CN"/>
              </w:rPr>
              <w:t>厂界四侧声环境质量</w:t>
            </w:r>
            <w:r>
              <w:rPr>
                <w:rFonts w:hint="eastAsia" w:ascii="宋体" w:hAnsi="宋体" w:eastAsia="宋体" w:cs="宋体"/>
                <w:color w:val="auto"/>
                <w:kern w:val="0"/>
                <w:highlight w:val="none"/>
                <w:lang w:val="zh-CN"/>
              </w:rPr>
              <w:t>满足《声环境质量标准》（GB3096-2008）中的</w:t>
            </w:r>
            <w:r>
              <w:rPr>
                <w:rFonts w:hint="eastAsia" w:ascii="宋体" w:hAnsi="宋体" w:eastAsia="宋体" w:cs="宋体"/>
                <w:color w:val="auto"/>
                <w:kern w:val="0"/>
                <w:highlight w:val="none"/>
              </w:rPr>
              <w:t>2</w:t>
            </w:r>
            <w:r>
              <w:rPr>
                <w:rFonts w:hint="eastAsia" w:ascii="宋体" w:hAnsi="宋体" w:eastAsia="宋体" w:cs="宋体"/>
                <w:color w:val="auto"/>
                <w:kern w:val="0"/>
                <w:highlight w:val="none"/>
                <w:lang w:val="zh-CN"/>
              </w:rPr>
              <w:t>类标准。</w:t>
            </w:r>
            <w:bookmarkEnd w:id="11"/>
          </w:p>
          <w:p w14:paraId="56A9E41C">
            <w:pPr>
              <w:adjustRightInd w:val="0"/>
              <w:snapToGrid w:val="0"/>
              <w:spacing w:line="360" w:lineRule="auto"/>
              <w:ind w:left="0" w:leftChars="0" w:firstLine="0" w:firstLineChars="0"/>
              <w:rPr>
                <w:rFonts w:hint="default" w:ascii="Times New Roman" w:hAnsi="Times New Roman" w:eastAsia="宋体" w:cs="宋体"/>
                <w:b/>
                <w:bCs w:val="0"/>
                <w:caps w:val="0"/>
                <w:color w:val="auto"/>
                <w:kern w:val="0"/>
                <w:highlight w:val="none"/>
                <w:lang w:val="en-US" w:eastAsia="zh-CN"/>
              </w:rPr>
            </w:pPr>
            <w:r>
              <w:rPr>
                <w:rFonts w:hint="eastAsia" w:ascii="Times New Roman" w:hAnsi="Times New Roman" w:eastAsia="宋体" w:cs="宋体"/>
                <w:b/>
                <w:bCs w:val="0"/>
                <w:caps w:val="0"/>
                <w:color w:val="auto"/>
                <w:kern w:val="0"/>
                <w:highlight w:val="none"/>
                <w:lang w:val="en-US" w:eastAsia="zh-CN"/>
              </w:rPr>
              <w:t>4.</w:t>
            </w:r>
            <w:r>
              <w:rPr>
                <w:rFonts w:hint="default" w:ascii="Times New Roman" w:hAnsi="Times New Roman" w:eastAsia="宋体" w:cs="宋体"/>
                <w:b/>
                <w:bCs w:val="0"/>
                <w:caps w:val="0"/>
                <w:color w:val="auto"/>
                <w:kern w:val="0"/>
                <w:highlight w:val="none"/>
                <w:lang w:val="en-US" w:eastAsia="zh-CN"/>
              </w:rPr>
              <w:t>土壤、地下水环境质量现状</w:t>
            </w:r>
          </w:p>
          <w:p w14:paraId="02D69FF4">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宋体"/>
                <w:caps w:val="0"/>
                <w:color w:val="auto"/>
                <w:kern w:val="0"/>
                <w:highlight w:val="none"/>
                <w:lang w:val="en-US" w:eastAsia="zh-CN"/>
              </w:rPr>
            </w:pPr>
            <w:r>
              <w:rPr>
                <w:rFonts w:hint="eastAsia" w:ascii="Times New Roman" w:hAnsi="Times New Roman" w:eastAsia="宋体" w:cs="宋体"/>
                <w:caps w:val="0"/>
                <w:color w:val="auto"/>
                <w:kern w:val="0"/>
                <w:highlight w:val="none"/>
                <w:lang w:val="en-US" w:eastAsia="zh-CN"/>
              </w:rPr>
              <w:t>根据《建设项目环境影响报告表编制技术指南（污染影响类）》（试行），地下水、土壤环境原则上不开展环境质量现状调查。建设项目存在土壤、地下水污染途径的，应结合污染源、保护目标分布情况开展现状调查以留作背景值。</w:t>
            </w:r>
          </w:p>
          <w:p w14:paraId="7EB35B9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宋体"/>
                <w:caps w:val="0"/>
                <w:color w:val="auto"/>
                <w:kern w:val="0"/>
                <w:highlight w:val="none"/>
                <w:lang w:val="en-US" w:eastAsia="zh-CN"/>
              </w:rPr>
            </w:pPr>
            <w:r>
              <w:rPr>
                <w:rFonts w:hint="eastAsia" w:ascii="Times New Roman" w:hAnsi="Times New Roman" w:eastAsia="宋体" w:cs="宋体"/>
                <w:caps w:val="0"/>
                <w:color w:val="auto"/>
                <w:kern w:val="0"/>
                <w:highlight w:val="none"/>
                <w:lang w:val="en-US" w:eastAsia="zh-CN"/>
              </w:rPr>
              <w:t>本项目为热力生产和供应项目，运行过程中不存在地下水、土壤环境污染途径，不存在污染地下水的特征因子，不存在污染地下水的途径。不会对地下水、土壤环境造成影响。因此，本次评价不进行地下水、土壤环境质量现状监测。</w:t>
            </w:r>
          </w:p>
          <w:p w14:paraId="2E2F6753">
            <w:pPr>
              <w:pStyle w:val="19"/>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rPr>
                <w:rFonts w:hint="eastAsia" w:ascii="Times New Roman" w:hAnsi="Times New Roman" w:eastAsia="宋体" w:cs="宋体"/>
                <w:b/>
                <w:bCs w:val="0"/>
                <w:caps w:val="0"/>
                <w:color w:val="auto"/>
                <w:kern w:val="0"/>
                <w:sz w:val="24"/>
                <w:szCs w:val="24"/>
                <w:highlight w:val="none"/>
                <w:lang w:val="en-US" w:eastAsia="zh-CN" w:bidi="ar-SA"/>
              </w:rPr>
            </w:pPr>
            <w:r>
              <w:rPr>
                <w:rFonts w:hint="eastAsia" w:ascii="Times New Roman" w:hAnsi="Times New Roman" w:eastAsia="宋体" w:cs="宋体"/>
                <w:b/>
                <w:bCs w:val="0"/>
                <w:caps w:val="0"/>
                <w:color w:val="auto"/>
                <w:kern w:val="0"/>
                <w:sz w:val="24"/>
                <w:szCs w:val="24"/>
                <w:highlight w:val="none"/>
                <w:lang w:val="en-US" w:eastAsia="zh-CN" w:bidi="ar-SA"/>
              </w:rPr>
              <w:t>5.生态环境质量现状</w:t>
            </w:r>
          </w:p>
          <w:p w14:paraId="13FD37EF">
            <w:pPr>
              <w:pStyle w:val="19"/>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宋体"/>
                <w:b/>
                <w:bCs w:val="0"/>
                <w:caps w:val="0"/>
                <w:kern w:val="0"/>
                <w:sz w:val="24"/>
                <w:szCs w:val="24"/>
                <w:highlight w:val="none"/>
                <w:lang w:val="en-US" w:eastAsia="zh-CN" w:bidi="ar-SA"/>
              </w:rPr>
            </w:pPr>
            <w:r>
              <w:rPr>
                <w:rFonts w:hint="eastAsia" w:ascii="Times New Roman" w:hAnsi="Times New Roman" w:eastAsia="宋体" w:cs="宋体"/>
                <w:bCs/>
                <w:caps w:val="0"/>
                <w:color w:val="auto"/>
                <w:kern w:val="0"/>
                <w:sz w:val="24"/>
                <w:szCs w:val="24"/>
                <w:highlight w:val="none"/>
                <w:lang w:val="en-US" w:eastAsia="zh-CN" w:bidi="ar-SA"/>
              </w:rPr>
              <w:t>本项目利用现有场地进行</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bCs/>
                <w:caps w:val="0"/>
                <w:color w:val="auto"/>
                <w:kern w:val="0"/>
                <w:sz w:val="24"/>
                <w:szCs w:val="24"/>
                <w:highlight w:val="none"/>
                <w:lang w:val="en-US" w:eastAsia="zh-CN" w:bidi="ar-SA"/>
              </w:rPr>
              <w:t>建设，不新增用地且用地范围内不含有生态环境保护目标，因此不进行生态环境质量现状调查。</w:t>
            </w:r>
          </w:p>
        </w:tc>
      </w:tr>
      <w:tr w14:paraId="4BB6F2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63" w:hRule="atLeast"/>
          <w:jc w:val="center"/>
        </w:trPr>
        <w:tc>
          <w:tcPr>
            <w:tcW w:w="542" w:type="dxa"/>
            <w:noWrap w:val="0"/>
            <w:vAlign w:val="center"/>
          </w:tcPr>
          <w:p w14:paraId="537E0C0D">
            <w:pPr>
              <w:spacing w:line="240" w:lineRule="auto"/>
              <w:ind w:firstLine="0" w:firstLineChars="0"/>
              <w:jc w:val="center"/>
              <w:rPr>
                <w:rFonts w:hint="eastAsia" w:ascii="Times New Roman" w:hAnsi="Times New Roman" w:eastAsia="宋体" w:cs="宋体"/>
                <w:caps w:val="0"/>
                <w:spacing w:val="0"/>
                <w:kern w:val="0"/>
                <w:highlight w:val="none"/>
              </w:rPr>
            </w:pPr>
            <w:r>
              <w:rPr>
                <w:rFonts w:hint="eastAsia" w:ascii="Times New Roman" w:hAnsi="Times New Roman" w:eastAsia="宋体" w:cs="宋体"/>
                <w:caps w:val="0"/>
                <w:spacing w:val="0"/>
                <w:kern w:val="0"/>
                <w:highlight w:val="none"/>
              </w:rPr>
              <w:t>环境</w:t>
            </w:r>
          </w:p>
          <w:p w14:paraId="692B84CD">
            <w:pPr>
              <w:spacing w:line="240" w:lineRule="auto"/>
              <w:ind w:firstLine="0" w:firstLineChars="0"/>
              <w:jc w:val="center"/>
              <w:rPr>
                <w:rFonts w:hint="eastAsia" w:ascii="Times New Roman" w:hAnsi="Times New Roman" w:eastAsia="宋体" w:cs="宋体"/>
                <w:caps w:val="0"/>
                <w:spacing w:val="0"/>
                <w:kern w:val="0"/>
                <w:highlight w:val="none"/>
              </w:rPr>
            </w:pPr>
            <w:r>
              <w:rPr>
                <w:rFonts w:hint="eastAsia" w:ascii="Times New Roman" w:hAnsi="Times New Roman" w:eastAsia="宋体" w:cs="宋体"/>
                <w:caps w:val="0"/>
                <w:spacing w:val="0"/>
                <w:kern w:val="0"/>
                <w:highlight w:val="none"/>
              </w:rPr>
              <w:t>保护</w:t>
            </w:r>
          </w:p>
          <w:p w14:paraId="3C012C63">
            <w:pPr>
              <w:spacing w:line="240" w:lineRule="auto"/>
              <w:ind w:firstLine="0" w:firstLineChars="0"/>
              <w:jc w:val="center"/>
              <w:rPr>
                <w:rFonts w:hint="eastAsia" w:ascii="Times New Roman" w:hAnsi="Times New Roman" w:eastAsia="宋体" w:cs="宋体"/>
                <w:caps w:val="0"/>
                <w:spacing w:val="0"/>
                <w:kern w:val="0"/>
                <w:highlight w:val="none"/>
              </w:rPr>
            </w:pPr>
            <w:r>
              <w:rPr>
                <w:rFonts w:hint="eastAsia" w:ascii="Times New Roman" w:hAnsi="Times New Roman" w:eastAsia="宋体" w:cs="宋体"/>
                <w:caps w:val="0"/>
                <w:spacing w:val="0"/>
                <w:kern w:val="0"/>
                <w:highlight w:val="none"/>
              </w:rPr>
              <w:t>目标</w:t>
            </w:r>
          </w:p>
        </w:tc>
        <w:tc>
          <w:tcPr>
            <w:tcW w:w="7987" w:type="dxa"/>
            <w:noWrap w:val="0"/>
            <w:vAlign w:val="center"/>
          </w:tcPr>
          <w:p w14:paraId="6B039B5B">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1.大气环境</w:t>
            </w:r>
          </w:p>
          <w:p w14:paraId="087F7D0A">
            <w:pPr>
              <w:spacing w:line="240" w:lineRule="auto"/>
              <w:ind w:left="0" w:leftChars="0" w:firstLine="0" w:firstLineChars="0"/>
              <w:jc w:val="center"/>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caps w:val="0"/>
                <w:color w:val="auto"/>
                <w:spacing w:val="0"/>
                <w:kern w:val="0"/>
                <w:sz w:val="21"/>
                <w:szCs w:val="21"/>
                <w:highlight w:val="none"/>
                <w:lang w:val="en-US" w:eastAsia="zh-CN"/>
              </w:rPr>
              <w:t>表3-</w:t>
            </w:r>
            <w:r>
              <w:rPr>
                <w:rFonts w:hint="eastAsia" w:ascii="Times New Roman" w:hAnsi="Times New Roman" w:cs="宋体"/>
                <w:b/>
                <w:caps w:val="0"/>
                <w:color w:val="auto"/>
                <w:spacing w:val="0"/>
                <w:kern w:val="0"/>
                <w:sz w:val="21"/>
                <w:szCs w:val="21"/>
                <w:highlight w:val="none"/>
                <w:lang w:val="en-US" w:eastAsia="zh-CN"/>
              </w:rPr>
              <w:t>3</w:t>
            </w:r>
            <w:r>
              <w:rPr>
                <w:rFonts w:hint="eastAsia" w:ascii="Times New Roman" w:hAnsi="Times New Roman" w:eastAsia="宋体" w:cs="宋体"/>
                <w:b/>
                <w:caps w:val="0"/>
                <w:color w:val="auto"/>
                <w:spacing w:val="0"/>
                <w:kern w:val="0"/>
                <w:sz w:val="21"/>
                <w:szCs w:val="21"/>
                <w:highlight w:val="none"/>
                <w:lang w:val="en-US" w:eastAsia="zh-CN"/>
              </w:rPr>
              <w:t xml:space="preserve"> 大气环境保护目标</w:t>
            </w:r>
          </w:p>
          <w:tbl>
            <w:tblPr>
              <w:tblStyle w:val="14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08"/>
              <w:gridCol w:w="942"/>
              <w:gridCol w:w="1367"/>
              <w:gridCol w:w="1324"/>
              <w:gridCol w:w="902"/>
              <w:gridCol w:w="601"/>
              <w:gridCol w:w="618"/>
              <w:gridCol w:w="750"/>
              <w:gridCol w:w="946"/>
            </w:tblGrid>
            <w:tr w14:paraId="493DB7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03" w:type="dxa"/>
                  <w:vMerge w:val="restart"/>
                  <w:tcBorders>
                    <w:tl2br w:val="nil"/>
                    <w:tr2bl w:val="nil"/>
                  </w:tcBorders>
                  <w:vAlign w:val="center"/>
                </w:tcPr>
                <w:p w14:paraId="649BC309">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b/>
                      <w:bCs/>
                      <w:caps w:val="0"/>
                      <w:color w:val="auto"/>
                      <w:sz w:val="21"/>
                      <w:szCs w:val="21"/>
                      <w:highlight w:val="none"/>
                      <w:lang w:val="en-US" w:eastAsia="zh-CN"/>
                    </w:rPr>
                  </w:pPr>
                  <w:r>
                    <w:rPr>
                      <w:rFonts w:hint="eastAsia" w:ascii="Times New Roman" w:hAnsi="Times New Roman" w:eastAsia="宋体" w:cs="宋体"/>
                      <w:b/>
                      <w:bCs/>
                      <w:caps w:val="0"/>
                      <w:color w:val="auto"/>
                      <w:sz w:val="21"/>
                      <w:szCs w:val="21"/>
                      <w:highlight w:val="none"/>
                      <w:lang w:val="en-US" w:eastAsia="zh-CN"/>
                    </w:rPr>
                    <w:t>序号</w:t>
                  </w:r>
                </w:p>
              </w:tc>
              <w:tc>
                <w:tcPr>
                  <w:tcW w:w="930" w:type="dxa"/>
                  <w:vMerge w:val="restart"/>
                  <w:tcBorders>
                    <w:tl2br w:val="nil"/>
                    <w:tr2bl w:val="nil"/>
                  </w:tcBorders>
                  <w:vAlign w:val="center"/>
                </w:tcPr>
                <w:p w14:paraId="5434B3F4">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pacing w:val="-3"/>
                      <w:sz w:val="21"/>
                      <w:szCs w:val="21"/>
                      <w:highlight w:val="none"/>
                    </w:rPr>
                    <w:t>名称</w:t>
                  </w:r>
                </w:p>
              </w:tc>
              <w:tc>
                <w:tcPr>
                  <w:tcW w:w="2658" w:type="dxa"/>
                  <w:gridSpan w:val="2"/>
                  <w:tcBorders>
                    <w:tl2br w:val="nil"/>
                    <w:tr2bl w:val="nil"/>
                  </w:tcBorders>
                  <w:vAlign w:val="center"/>
                </w:tcPr>
                <w:p w14:paraId="2F1B3996">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pacing w:val="-4"/>
                      <w:sz w:val="21"/>
                      <w:szCs w:val="21"/>
                      <w:highlight w:val="none"/>
                    </w:rPr>
                    <w:t>坐标（。）</w:t>
                  </w:r>
                </w:p>
              </w:tc>
              <w:tc>
                <w:tcPr>
                  <w:tcW w:w="891" w:type="dxa"/>
                  <w:vMerge w:val="restart"/>
                  <w:tcBorders>
                    <w:tl2br w:val="nil"/>
                    <w:tr2bl w:val="nil"/>
                  </w:tcBorders>
                  <w:vAlign w:val="center"/>
                </w:tcPr>
                <w:p w14:paraId="25EC564F">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pacing w:val="-2"/>
                      <w:sz w:val="21"/>
                      <w:szCs w:val="21"/>
                      <w:highlight w:val="none"/>
                    </w:rPr>
                    <w:t>保护对</w:t>
                  </w:r>
                  <w:r>
                    <w:rPr>
                      <w:rFonts w:hint="eastAsia" w:ascii="Times New Roman" w:hAnsi="Times New Roman" w:eastAsia="宋体" w:cs="宋体"/>
                      <w:b/>
                      <w:bCs/>
                      <w:caps w:val="0"/>
                      <w:color w:val="auto"/>
                      <w:sz w:val="21"/>
                      <w:szCs w:val="21"/>
                      <w:highlight w:val="none"/>
                    </w:rPr>
                    <w:t>象</w:t>
                  </w:r>
                </w:p>
              </w:tc>
              <w:tc>
                <w:tcPr>
                  <w:tcW w:w="594" w:type="dxa"/>
                  <w:vMerge w:val="restart"/>
                  <w:tcBorders>
                    <w:tl2br w:val="nil"/>
                    <w:tr2bl w:val="nil"/>
                  </w:tcBorders>
                  <w:vAlign w:val="center"/>
                </w:tcPr>
                <w:p w14:paraId="7D3A4415">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pacing w:val="-2"/>
                      <w:sz w:val="21"/>
                      <w:szCs w:val="21"/>
                      <w:highlight w:val="none"/>
                    </w:rPr>
                    <w:t>保护</w:t>
                  </w:r>
                  <w:r>
                    <w:rPr>
                      <w:rFonts w:hint="eastAsia" w:ascii="Times New Roman" w:hAnsi="Times New Roman" w:eastAsia="宋体" w:cs="宋体"/>
                      <w:b/>
                      <w:bCs/>
                      <w:caps w:val="0"/>
                      <w:color w:val="auto"/>
                      <w:spacing w:val="-8"/>
                      <w:sz w:val="21"/>
                      <w:szCs w:val="21"/>
                      <w:highlight w:val="none"/>
                    </w:rPr>
                    <w:t>内容</w:t>
                  </w:r>
                </w:p>
              </w:tc>
              <w:tc>
                <w:tcPr>
                  <w:tcW w:w="610" w:type="dxa"/>
                  <w:vMerge w:val="restart"/>
                  <w:tcBorders>
                    <w:tl2br w:val="nil"/>
                    <w:tr2bl w:val="nil"/>
                  </w:tcBorders>
                  <w:vAlign w:val="center"/>
                </w:tcPr>
                <w:p w14:paraId="4046E838">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pacing w:val="-2"/>
                      <w:sz w:val="21"/>
                      <w:szCs w:val="21"/>
                      <w:highlight w:val="none"/>
                    </w:rPr>
                    <w:t>环境</w:t>
                  </w:r>
                  <w:r>
                    <w:rPr>
                      <w:rFonts w:hint="eastAsia" w:ascii="Times New Roman" w:hAnsi="Times New Roman" w:eastAsia="宋体" w:cs="宋体"/>
                      <w:b/>
                      <w:bCs/>
                      <w:caps w:val="0"/>
                      <w:color w:val="auto"/>
                      <w:spacing w:val="-5"/>
                      <w:sz w:val="21"/>
                      <w:szCs w:val="21"/>
                      <w:highlight w:val="none"/>
                    </w:rPr>
                    <w:t>功能</w:t>
                  </w:r>
                  <w:r>
                    <w:rPr>
                      <w:rFonts w:hint="eastAsia" w:ascii="Times New Roman" w:hAnsi="Times New Roman" w:eastAsia="宋体" w:cs="宋体"/>
                      <w:b/>
                      <w:bCs/>
                      <w:caps w:val="0"/>
                      <w:color w:val="auto"/>
                      <w:sz w:val="21"/>
                      <w:szCs w:val="21"/>
                      <w:highlight w:val="none"/>
                    </w:rPr>
                    <w:t>区</w:t>
                  </w:r>
                </w:p>
              </w:tc>
              <w:tc>
                <w:tcPr>
                  <w:tcW w:w="741" w:type="dxa"/>
                  <w:vMerge w:val="restart"/>
                  <w:tcBorders>
                    <w:tl2br w:val="nil"/>
                    <w:tr2bl w:val="nil"/>
                  </w:tcBorders>
                  <w:vAlign w:val="center"/>
                </w:tcPr>
                <w:p w14:paraId="49585411">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pacing w:val="-2"/>
                      <w:sz w:val="21"/>
                      <w:szCs w:val="21"/>
                      <w:highlight w:val="none"/>
                    </w:rPr>
                    <w:t>相对</w:t>
                  </w:r>
                  <w:r>
                    <w:rPr>
                      <w:rFonts w:hint="eastAsia" w:ascii="Times New Roman" w:hAnsi="Times New Roman" w:eastAsia="宋体" w:cs="宋体"/>
                      <w:b/>
                      <w:bCs/>
                      <w:caps w:val="0"/>
                      <w:color w:val="auto"/>
                      <w:spacing w:val="-3"/>
                      <w:sz w:val="21"/>
                      <w:szCs w:val="21"/>
                      <w:highlight w:val="none"/>
                    </w:rPr>
                    <w:t>厂址</w:t>
                  </w:r>
                  <w:r>
                    <w:rPr>
                      <w:rFonts w:hint="eastAsia" w:ascii="Times New Roman" w:hAnsi="Times New Roman" w:eastAsia="宋体" w:cs="宋体"/>
                      <w:b/>
                      <w:bCs/>
                      <w:caps w:val="0"/>
                      <w:color w:val="auto"/>
                      <w:spacing w:val="-2"/>
                      <w:sz w:val="21"/>
                      <w:szCs w:val="21"/>
                      <w:highlight w:val="none"/>
                    </w:rPr>
                    <w:t>方位</w:t>
                  </w:r>
                </w:p>
              </w:tc>
              <w:tc>
                <w:tcPr>
                  <w:tcW w:w="934" w:type="dxa"/>
                  <w:vMerge w:val="restart"/>
                  <w:tcBorders>
                    <w:tl2br w:val="nil"/>
                    <w:tr2bl w:val="nil"/>
                  </w:tcBorders>
                  <w:vAlign w:val="center"/>
                </w:tcPr>
                <w:p w14:paraId="5F2F7435">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pacing w:val="-2"/>
                      <w:sz w:val="21"/>
                      <w:szCs w:val="21"/>
                      <w:highlight w:val="none"/>
                    </w:rPr>
                    <w:t>相对厂</w:t>
                  </w:r>
                  <w:r>
                    <w:rPr>
                      <w:rFonts w:hint="eastAsia" w:ascii="Times New Roman" w:hAnsi="Times New Roman" w:eastAsia="宋体" w:cs="宋体"/>
                      <w:b/>
                      <w:bCs/>
                      <w:caps w:val="0"/>
                      <w:color w:val="auto"/>
                      <w:spacing w:val="-3"/>
                      <w:sz w:val="21"/>
                      <w:szCs w:val="21"/>
                      <w:highlight w:val="none"/>
                    </w:rPr>
                    <w:t>界距离</w:t>
                  </w:r>
                  <w:r>
                    <w:rPr>
                      <w:rFonts w:hint="eastAsia" w:ascii="Times New Roman" w:hAnsi="Times New Roman" w:eastAsia="宋体" w:cs="宋体"/>
                      <w:b/>
                      <w:bCs/>
                      <w:caps w:val="0"/>
                      <w:color w:val="auto"/>
                      <w:spacing w:val="-5"/>
                      <w:sz w:val="21"/>
                      <w:szCs w:val="21"/>
                      <w:highlight w:val="none"/>
                    </w:rPr>
                    <w:t>（m）</w:t>
                  </w:r>
                </w:p>
              </w:tc>
            </w:tr>
            <w:tr w14:paraId="23F274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03" w:type="dxa"/>
                  <w:vMerge w:val="continue"/>
                  <w:tcBorders>
                    <w:tl2br w:val="nil"/>
                    <w:tr2bl w:val="nil"/>
                  </w:tcBorders>
                  <w:textDirection w:val="tbRlV"/>
                  <w:vAlign w:val="center"/>
                </w:tcPr>
                <w:p w14:paraId="4B51A518">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highlight w:val="none"/>
                    </w:rPr>
                  </w:pPr>
                </w:p>
              </w:tc>
              <w:tc>
                <w:tcPr>
                  <w:tcW w:w="930" w:type="dxa"/>
                  <w:vMerge w:val="continue"/>
                  <w:tcBorders>
                    <w:tl2br w:val="nil"/>
                    <w:tr2bl w:val="nil"/>
                  </w:tcBorders>
                  <w:vAlign w:val="center"/>
                </w:tcPr>
                <w:p w14:paraId="656E519A">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highlight w:val="none"/>
                    </w:rPr>
                  </w:pPr>
                </w:p>
              </w:tc>
              <w:tc>
                <w:tcPr>
                  <w:tcW w:w="1350" w:type="dxa"/>
                  <w:tcBorders>
                    <w:tl2br w:val="nil"/>
                    <w:tr2bl w:val="nil"/>
                  </w:tcBorders>
                  <w:vAlign w:val="center"/>
                </w:tcPr>
                <w:p w14:paraId="7636D22A">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szCs w:val="21"/>
                      <w:highlight w:val="none"/>
                    </w:rPr>
                  </w:pPr>
                  <w:r>
                    <w:rPr>
                      <w:rFonts w:hint="eastAsia" w:ascii="Times New Roman" w:hAnsi="Times New Roman" w:eastAsia="宋体" w:cs="宋体"/>
                      <w:caps w:val="0"/>
                      <w:color w:val="auto"/>
                      <w:spacing w:val="-4"/>
                      <w:sz w:val="21"/>
                      <w:szCs w:val="21"/>
                      <w:highlight w:val="none"/>
                    </w:rPr>
                    <w:t>东经</w:t>
                  </w:r>
                </w:p>
              </w:tc>
              <w:tc>
                <w:tcPr>
                  <w:tcW w:w="1308" w:type="dxa"/>
                  <w:tcBorders>
                    <w:tl2br w:val="nil"/>
                    <w:tr2bl w:val="nil"/>
                  </w:tcBorders>
                  <w:vAlign w:val="center"/>
                </w:tcPr>
                <w:p w14:paraId="01DF115D">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szCs w:val="21"/>
                      <w:highlight w:val="none"/>
                    </w:rPr>
                  </w:pPr>
                  <w:r>
                    <w:rPr>
                      <w:rFonts w:hint="eastAsia" w:ascii="Times New Roman" w:hAnsi="Times New Roman" w:eastAsia="宋体" w:cs="宋体"/>
                      <w:caps w:val="0"/>
                      <w:color w:val="auto"/>
                      <w:spacing w:val="-3"/>
                      <w:sz w:val="21"/>
                      <w:szCs w:val="21"/>
                      <w:highlight w:val="none"/>
                    </w:rPr>
                    <w:t>北纬</w:t>
                  </w:r>
                </w:p>
              </w:tc>
              <w:tc>
                <w:tcPr>
                  <w:tcW w:w="891" w:type="dxa"/>
                  <w:vMerge w:val="continue"/>
                  <w:tcBorders>
                    <w:tl2br w:val="nil"/>
                    <w:tr2bl w:val="nil"/>
                  </w:tcBorders>
                  <w:vAlign w:val="center"/>
                </w:tcPr>
                <w:p w14:paraId="172DF547">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highlight w:val="none"/>
                    </w:rPr>
                  </w:pPr>
                </w:p>
              </w:tc>
              <w:tc>
                <w:tcPr>
                  <w:tcW w:w="594" w:type="dxa"/>
                  <w:vMerge w:val="continue"/>
                  <w:tcBorders>
                    <w:tl2br w:val="nil"/>
                    <w:tr2bl w:val="nil"/>
                  </w:tcBorders>
                  <w:vAlign w:val="center"/>
                </w:tcPr>
                <w:p w14:paraId="49998FED">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highlight w:val="none"/>
                    </w:rPr>
                  </w:pPr>
                </w:p>
              </w:tc>
              <w:tc>
                <w:tcPr>
                  <w:tcW w:w="610" w:type="dxa"/>
                  <w:vMerge w:val="continue"/>
                  <w:tcBorders>
                    <w:tl2br w:val="nil"/>
                    <w:tr2bl w:val="nil"/>
                  </w:tcBorders>
                  <w:vAlign w:val="center"/>
                </w:tcPr>
                <w:p w14:paraId="7BF49C7A">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highlight w:val="none"/>
                    </w:rPr>
                  </w:pPr>
                </w:p>
              </w:tc>
              <w:tc>
                <w:tcPr>
                  <w:tcW w:w="741" w:type="dxa"/>
                  <w:vMerge w:val="continue"/>
                  <w:tcBorders>
                    <w:tl2br w:val="nil"/>
                    <w:tr2bl w:val="nil"/>
                  </w:tcBorders>
                  <w:vAlign w:val="center"/>
                </w:tcPr>
                <w:p w14:paraId="5A00FF87">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highlight w:val="none"/>
                    </w:rPr>
                  </w:pPr>
                </w:p>
              </w:tc>
              <w:tc>
                <w:tcPr>
                  <w:tcW w:w="934" w:type="dxa"/>
                  <w:vMerge w:val="continue"/>
                  <w:tcBorders>
                    <w:tl2br w:val="nil"/>
                    <w:tr2bl w:val="nil"/>
                  </w:tcBorders>
                  <w:vAlign w:val="center"/>
                </w:tcPr>
                <w:p w14:paraId="71EA0AC7">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highlight w:val="none"/>
                    </w:rPr>
                  </w:pPr>
                </w:p>
              </w:tc>
            </w:tr>
            <w:tr w14:paraId="1E11B4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03" w:type="dxa"/>
                  <w:tcBorders>
                    <w:tl2br w:val="nil"/>
                    <w:tr2bl w:val="nil"/>
                  </w:tcBorders>
                  <w:vAlign w:val="center"/>
                </w:tcPr>
                <w:p w14:paraId="26AC3081">
                  <w:pPr>
                    <w:pStyle w:val="147"/>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1</w:t>
                  </w:r>
                </w:p>
              </w:tc>
              <w:tc>
                <w:tcPr>
                  <w:tcW w:w="930" w:type="dxa"/>
                  <w:tcBorders>
                    <w:tl2br w:val="nil"/>
                    <w:tr2bl w:val="nil"/>
                  </w:tcBorders>
                  <w:vAlign w:val="center"/>
                </w:tcPr>
                <w:p w14:paraId="3F049A60">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梨树博物馆</w:t>
                  </w:r>
                </w:p>
              </w:tc>
              <w:tc>
                <w:tcPr>
                  <w:tcW w:w="1350" w:type="dxa"/>
                  <w:tcBorders>
                    <w:tl2br w:val="nil"/>
                    <w:tr2bl w:val="nil"/>
                  </w:tcBorders>
                  <w:vAlign w:val="center"/>
                </w:tcPr>
                <w:p w14:paraId="7739F37E">
                  <w:pPr>
                    <w:pStyle w:val="147"/>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rPr>
                    <w:t>130</w:t>
                  </w:r>
                  <w:r>
                    <w:rPr>
                      <w:rFonts w:hint="eastAsia" w:ascii="Times New Roman" w:hAnsi="Times New Roman" w:eastAsia="宋体" w:cs="宋体"/>
                      <w:caps w:val="0"/>
                      <w:color w:val="auto"/>
                      <w:sz w:val="21"/>
                      <w:szCs w:val="21"/>
                      <w:highlight w:val="none"/>
                      <w:lang w:eastAsia="zh-CN"/>
                    </w:rPr>
                    <w:t>.</w:t>
                  </w:r>
                  <w:r>
                    <w:rPr>
                      <w:rFonts w:hint="eastAsia" w:ascii="Times New Roman" w:hAnsi="Times New Roman" w:eastAsia="宋体" w:cs="宋体"/>
                      <w:caps w:val="0"/>
                      <w:color w:val="auto"/>
                      <w:sz w:val="21"/>
                      <w:szCs w:val="21"/>
                      <w:highlight w:val="none"/>
                    </w:rPr>
                    <w:t>714911</w:t>
                  </w:r>
                </w:p>
              </w:tc>
              <w:tc>
                <w:tcPr>
                  <w:tcW w:w="1308" w:type="dxa"/>
                  <w:tcBorders>
                    <w:tl2br w:val="nil"/>
                    <w:tr2bl w:val="nil"/>
                  </w:tcBorders>
                  <w:vAlign w:val="center"/>
                </w:tcPr>
                <w:p w14:paraId="07A25A38">
                  <w:pPr>
                    <w:pStyle w:val="147"/>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szCs w:val="21"/>
                      <w:highlight w:val="none"/>
                    </w:rPr>
                  </w:pPr>
                  <w:r>
                    <w:rPr>
                      <w:rFonts w:hint="eastAsia" w:ascii="Times New Roman" w:hAnsi="Times New Roman" w:eastAsia="宋体" w:cs="宋体"/>
                      <w:caps w:val="0"/>
                      <w:color w:val="auto"/>
                      <w:sz w:val="21"/>
                      <w:szCs w:val="21"/>
                      <w:highlight w:val="none"/>
                    </w:rPr>
                    <w:t>45</w:t>
                  </w:r>
                  <w:r>
                    <w:rPr>
                      <w:rFonts w:hint="eastAsia" w:ascii="Times New Roman" w:hAnsi="Times New Roman" w:eastAsia="宋体" w:cs="宋体"/>
                      <w:caps w:val="0"/>
                      <w:color w:val="auto"/>
                      <w:sz w:val="21"/>
                      <w:szCs w:val="21"/>
                      <w:highlight w:val="none"/>
                      <w:lang w:eastAsia="zh-CN"/>
                    </w:rPr>
                    <w:t>.</w:t>
                  </w:r>
                  <w:r>
                    <w:rPr>
                      <w:rFonts w:hint="eastAsia" w:ascii="Times New Roman" w:hAnsi="Times New Roman" w:eastAsia="宋体" w:cs="宋体"/>
                      <w:caps w:val="0"/>
                      <w:color w:val="auto"/>
                      <w:sz w:val="21"/>
                      <w:szCs w:val="21"/>
                      <w:highlight w:val="none"/>
                    </w:rPr>
                    <w:t>070228</w:t>
                  </w:r>
                </w:p>
              </w:tc>
              <w:tc>
                <w:tcPr>
                  <w:tcW w:w="891" w:type="dxa"/>
                  <w:tcBorders>
                    <w:tl2br w:val="nil"/>
                    <w:tr2bl w:val="nil"/>
                  </w:tcBorders>
                  <w:vAlign w:val="center"/>
                </w:tcPr>
                <w:p w14:paraId="1309AD72">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highlight w:val="none"/>
                      <w:lang w:val="en-US" w:eastAsia="zh-CN"/>
                    </w:rPr>
                  </w:pPr>
                  <w:r>
                    <w:rPr>
                      <w:rFonts w:hint="eastAsia" w:ascii="Times New Roman" w:hAnsi="Times New Roman" w:eastAsia="宋体" w:cs="宋体"/>
                      <w:caps w:val="0"/>
                      <w:color w:val="auto"/>
                      <w:sz w:val="21"/>
                      <w:highlight w:val="none"/>
                      <w:lang w:val="en-US" w:eastAsia="zh-CN"/>
                    </w:rPr>
                    <w:t>文化区</w:t>
                  </w:r>
                </w:p>
              </w:tc>
              <w:tc>
                <w:tcPr>
                  <w:tcW w:w="594" w:type="dxa"/>
                  <w:tcBorders>
                    <w:tl2br w:val="nil"/>
                    <w:tr2bl w:val="nil"/>
                  </w:tcBorders>
                  <w:vAlign w:val="center"/>
                </w:tcPr>
                <w:p w14:paraId="1416888E">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highlight w:val="none"/>
                    </w:rPr>
                  </w:pPr>
                  <w:r>
                    <w:rPr>
                      <w:rFonts w:hint="eastAsia" w:ascii="Times New Roman" w:hAnsi="Times New Roman" w:eastAsia="宋体" w:cs="宋体"/>
                      <w:caps w:val="0"/>
                      <w:color w:val="auto"/>
                      <w:sz w:val="21"/>
                      <w:highlight w:val="none"/>
                      <w:lang w:val="en-US" w:eastAsia="zh-CN"/>
                    </w:rPr>
                    <w:t>人群</w:t>
                  </w:r>
                </w:p>
              </w:tc>
              <w:tc>
                <w:tcPr>
                  <w:tcW w:w="610" w:type="dxa"/>
                  <w:tcBorders>
                    <w:tl2br w:val="nil"/>
                    <w:tr2bl w:val="nil"/>
                  </w:tcBorders>
                  <w:vAlign w:val="center"/>
                </w:tcPr>
                <w:p w14:paraId="47F194E5">
                  <w:pPr>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highlight w:val="none"/>
                    </w:rPr>
                  </w:pPr>
                  <w:r>
                    <w:rPr>
                      <w:rFonts w:hint="eastAsia" w:ascii="Times New Roman" w:hAnsi="Times New Roman" w:eastAsia="宋体" w:cs="宋体"/>
                      <w:caps w:val="0"/>
                      <w:color w:val="auto"/>
                      <w:sz w:val="21"/>
                      <w:highlight w:val="none"/>
                      <w:lang w:val="en-US" w:eastAsia="zh-CN"/>
                    </w:rPr>
                    <w:t>二类区</w:t>
                  </w:r>
                </w:p>
              </w:tc>
              <w:tc>
                <w:tcPr>
                  <w:tcW w:w="741" w:type="dxa"/>
                  <w:tcBorders>
                    <w:tl2br w:val="nil"/>
                    <w:tr2bl w:val="nil"/>
                  </w:tcBorders>
                  <w:vAlign w:val="center"/>
                </w:tcPr>
                <w:p w14:paraId="4A3A341D">
                  <w:pPr>
                    <w:pStyle w:val="147"/>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西北</w:t>
                  </w:r>
                </w:p>
              </w:tc>
              <w:tc>
                <w:tcPr>
                  <w:tcW w:w="934" w:type="dxa"/>
                  <w:tcBorders>
                    <w:tl2br w:val="nil"/>
                    <w:tr2bl w:val="nil"/>
                  </w:tcBorders>
                  <w:vAlign w:val="center"/>
                </w:tcPr>
                <w:p w14:paraId="540E519B">
                  <w:pPr>
                    <w:pStyle w:val="147"/>
                    <w:keepNext w:val="0"/>
                    <w:keepLines w:val="0"/>
                    <w:pageBreakBefore w:val="0"/>
                    <w:widowControl w:val="0"/>
                    <w:shd w:val="clear"/>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300</w:t>
                  </w:r>
                </w:p>
              </w:tc>
            </w:tr>
          </w:tbl>
          <w:p w14:paraId="4669B905">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2.声环境</w:t>
            </w:r>
          </w:p>
          <w:p w14:paraId="1B5A0AA2">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caps w:val="0"/>
                <w:sz w:val="24"/>
                <w:szCs w:val="24"/>
                <w:highlight w:val="none"/>
              </w:rPr>
              <w:t>厂界外50m范围内无声环境保护目标</w:t>
            </w:r>
            <w:r>
              <w:rPr>
                <w:rFonts w:hint="eastAsia" w:ascii="Times New Roman" w:hAnsi="Times New Roman" w:eastAsia="宋体" w:cs="宋体"/>
                <w:caps w:val="0"/>
                <w:sz w:val="24"/>
                <w:szCs w:val="24"/>
                <w:highlight w:val="none"/>
                <w:lang w:val="en-US" w:eastAsia="zh-CN"/>
              </w:rPr>
              <w:t>。</w:t>
            </w:r>
          </w:p>
          <w:p w14:paraId="68F471C2">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3.地下水环境</w:t>
            </w:r>
          </w:p>
          <w:p w14:paraId="67C19A3D">
            <w:pPr>
              <w:numPr>
                <w:ilvl w:val="0"/>
                <w:numId w:val="0"/>
              </w:numPr>
              <w:bidi w:val="0"/>
              <w:ind w:firstLine="480" w:firstLineChars="200"/>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厂界外500米范围内无</w:t>
            </w:r>
            <w:r>
              <w:rPr>
                <w:rFonts w:hint="eastAsia" w:ascii="Times New Roman" w:hAnsi="Times New Roman" w:eastAsia="宋体" w:cs="宋体"/>
                <w:caps w:val="0"/>
                <w:spacing w:val="0"/>
                <w:sz w:val="24"/>
                <w:szCs w:val="24"/>
                <w:highlight w:val="none"/>
              </w:rPr>
              <w:t>地下水集中式饮用水水源和热水、矿泉水、温泉等特殊地下水资源</w:t>
            </w:r>
            <w:r>
              <w:rPr>
                <w:rFonts w:hint="eastAsia" w:ascii="Times New Roman" w:hAnsi="Times New Roman" w:eastAsia="宋体" w:cs="宋体"/>
                <w:caps w:val="0"/>
                <w:spacing w:val="0"/>
                <w:sz w:val="24"/>
                <w:szCs w:val="24"/>
                <w:highlight w:val="none"/>
                <w:lang w:eastAsia="zh-CN"/>
              </w:rPr>
              <w:t>。</w:t>
            </w:r>
          </w:p>
        </w:tc>
      </w:tr>
      <w:tr w14:paraId="2E139D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542" w:type="dxa"/>
            <w:noWrap w:val="0"/>
            <w:tcMar>
              <w:left w:w="28" w:type="dxa"/>
              <w:right w:w="28" w:type="dxa"/>
            </w:tcMar>
            <w:vAlign w:val="center"/>
          </w:tcPr>
          <w:p w14:paraId="709D63CE">
            <w:pPr>
              <w:spacing w:line="240" w:lineRule="auto"/>
              <w:ind w:firstLine="0" w:firstLineChars="0"/>
              <w:jc w:val="center"/>
              <w:rPr>
                <w:rFonts w:hint="eastAsia" w:ascii="Times New Roman" w:hAnsi="Times New Roman" w:eastAsia="宋体" w:cs="宋体"/>
                <w:caps w:val="0"/>
                <w:spacing w:val="0"/>
                <w:kern w:val="0"/>
                <w:highlight w:val="none"/>
              </w:rPr>
            </w:pPr>
            <w:r>
              <w:rPr>
                <w:rFonts w:hint="eastAsia" w:ascii="Times New Roman" w:hAnsi="Times New Roman" w:eastAsia="宋体" w:cs="宋体"/>
                <w:caps w:val="0"/>
                <w:spacing w:val="0"/>
                <w:kern w:val="0"/>
                <w:highlight w:val="none"/>
              </w:rPr>
              <w:t>污染</w:t>
            </w:r>
          </w:p>
          <w:p w14:paraId="2D2F1AF8">
            <w:pPr>
              <w:spacing w:line="240" w:lineRule="auto"/>
              <w:ind w:firstLine="0" w:firstLineChars="0"/>
              <w:jc w:val="center"/>
              <w:rPr>
                <w:rFonts w:hint="eastAsia" w:ascii="Times New Roman" w:hAnsi="Times New Roman" w:eastAsia="宋体" w:cs="宋体"/>
                <w:caps w:val="0"/>
                <w:spacing w:val="0"/>
                <w:kern w:val="0"/>
                <w:highlight w:val="none"/>
              </w:rPr>
            </w:pPr>
            <w:r>
              <w:rPr>
                <w:rFonts w:hint="eastAsia" w:ascii="Times New Roman" w:hAnsi="Times New Roman" w:eastAsia="宋体" w:cs="宋体"/>
                <w:caps w:val="0"/>
                <w:spacing w:val="0"/>
                <w:kern w:val="0"/>
                <w:highlight w:val="none"/>
              </w:rPr>
              <w:t>物排</w:t>
            </w:r>
          </w:p>
          <w:p w14:paraId="7D9DEFF8">
            <w:pPr>
              <w:spacing w:line="240" w:lineRule="auto"/>
              <w:ind w:firstLine="0" w:firstLineChars="0"/>
              <w:jc w:val="center"/>
              <w:rPr>
                <w:rFonts w:hint="eastAsia" w:ascii="Times New Roman" w:hAnsi="Times New Roman" w:eastAsia="宋体" w:cs="宋体"/>
                <w:caps w:val="0"/>
                <w:spacing w:val="0"/>
                <w:kern w:val="0"/>
                <w:highlight w:val="none"/>
              </w:rPr>
            </w:pPr>
            <w:r>
              <w:rPr>
                <w:rFonts w:hint="eastAsia" w:ascii="Times New Roman" w:hAnsi="Times New Roman" w:eastAsia="宋体" w:cs="宋体"/>
                <w:caps w:val="0"/>
                <w:spacing w:val="0"/>
                <w:kern w:val="0"/>
                <w:highlight w:val="none"/>
              </w:rPr>
              <w:t>放控</w:t>
            </w:r>
          </w:p>
          <w:p w14:paraId="3AED25AD">
            <w:pPr>
              <w:spacing w:line="240" w:lineRule="auto"/>
              <w:ind w:firstLine="0" w:firstLineChars="0"/>
              <w:jc w:val="center"/>
              <w:rPr>
                <w:rFonts w:hint="eastAsia" w:ascii="Times New Roman" w:hAnsi="Times New Roman" w:eastAsia="宋体" w:cs="宋体"/>
                <w:caps w:val="0"/>
                <w:spacing w:val="0"/>
                <w:kern w:val="0"/>
                <w:highlight w:val="none"/>
              </w:rPr>
            </w:pPr>
            <w:r>
              <w:rPr>
                <w:rFonts w:hint="eastAsia" w:ascii="Times New Roman" w:hAnsi="Times New Roman" w:eastAsia="宋体" w:cs="宋体"/>
                <w:caps w:val="0"/>
                <w:spacing w:val="0"/>
                <w:kern w:val="0"/>
                <w:highlight w:val="none"/>
              </w:rPr>
              <w:t>制标</w:t>
            </w:r>
          </w:p>
          <w:p w14:paraId="2BF85FDD">
            <w:pPr>
              <w:spacing w:line="240" w:lineRule="auto"/>
              <w:ind w:firstLine="0" w:firstLineChars="0"/>
              <w:jc w:val="center"/>
              <w:rPr>
                <w:rFonts w:hint="eastAsia" w:ascii="Times New Roman" w:hAnsi="Times New Roman" w:eastAsia="宋体" w:cs="宋体"/>
                <w:caps w:val="0"/>
                <w:color w:val="FF0000"/>
                <w:spacing w:val="0"/>
                <w:kern w:val="0"/>
                <w:highlight w:val="none"/>
              </w:rPr>
            </w:pPr>
            <w:r>
              <w:rPr>
                <w:rFonts w:hint="eastAsia" w:ascii="Times New Roman" w:hAnsi="Times New Roman" w:eastAsia="宋体" w:cs="宋体"/>
                <w:caps w:val="0"/>
                <w:spacing w:val="0"/>
                <w:kern w:val="0"/>
                <w:highlight w:val="none"/>
              </w:rPr>
              <w:t>准</w:t>
            </w:r>
          </w:p>
        </w:tc>
        <w:tc>
          <w:tcPr>
            <w:tcW w:w="7987" w:type="dxa"/>
            <w:noWrap w:val="0"/>
            <w:vAlign w:val="center"/>
          </w:tcPr>
          <w:p w14:paraId="41118F11">
            <w:pPr>
              <w:spacing w:line="360" w:lineRule="auto"/>
              <w:ind w:left="0" w:leftChars="0" w:firstLine="0" w:firstLineChars="0"/>
              <w:rPr>
                <w:rFonts w:hint="eastAsia" w:ascii="Times New Roman" w:hAnsi="Times New Roman" w:eastAsia="宋体" w:cs="宋体"/>
                <w:b/>
                <w:bCs w:val="0"/>
                <w:caps w:val="0"/>
                <w:color w:val="auto"/>
                <w:spacing w:val="0"/>
                <w:sz w:val="24"/>
                <w:szCs w:val="24"/>
                <w:highlight w:val="none"/>
                <w:lang w:val="en-US" w:eastAsia="zh-CN"/>
              </w:rPr>
            </w:pPr>
            <w:r>
              <w:rPr>
                <w:rFonts w:hint="eastAsia" w:ascii="Times New Roman" w:hAnsi="Times New Roman" w:eastAsia="宋体" w:cs="宋体"/>
                <w:b/>
                <w:bCs w:val="0"/>
                <w:caps w:val="0"/>
                <w:color w:val="auto"/>
                <w:spacing w:val="0"/>
                <w:sz w:val="24"/>
                <w:szCs w:val="24"/>
                <w:highlight w:val="none"/>
                <w:lang w:val="en-US" w:eastAsia="zh-CN"/>
              </w:rPr>
              <w:t>1.废气</w:t>
            </w:r>
          </w:p>
          <w:p w14:paraId="1CDBB89C">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highlight w:val="none"/>
                <w:lang w:val="en-US" w:eastAsia="zh-CN"/>
              </w:rPr>
            </w:pPr>
            <w:r>
              <w:rPr>
                <w:rFonts w:hint="eastAsia"/>
                <w:b w:val="0"/>
                <w:bCs w:val="0"/>
                <w:color w:val="auto"/>
                <w:sz w:val="24"/>
                <w:highlight w:val="none"/>
                <w:lang w:val="en-US" w:eastAsia="zh-CN"/>
              </w:rPr>
              <w:t>施工期：</w:t>
            </w:r>
          </w:p>
          <w:p w14:paraId="27DA7C3B">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eastAsia" w:ascii="Times New Roman" w:hAnsi="Times New Roman" w:eastAsia="宋体" w:cs="宋体"/>
                <w:caps w:val="0"/>
                <w:color w:val="auto"/>
                <w:spacing w:val="0"/>
                <w:kern w:val="0"/>
                <w:sz w:val="24"/>
                <w:highlight w:val="none"/>
                <w:lang w:val="en-US" w:eastAsia="zh-CN"/>
              </w:rPr>
            </w:pPr>
            <w:r>
              <w:rPr>
                <w:rFonts w:hint="eastAsia"/>
                <w:b w:val="0"/>
                <w:bCs w:val="0"/>
                <w:color w:val="auto"/>
                <w:sz w:val="24"/>
                <w:highlight w:val="none"/>
              </w:rPr>
              <w:t>施工期废气执行《大气污染物综合排放标准》（GB16297-1996）表2无组织排放监控浓度限值要求</w:t>
            </w:r>
            <w:r>
              <w:rPr>
                <w:rFonts w:hint="eastAsia"/>
                <w:b w:val="0"/>
                <w:bCs w:val="0"/>
                <w:color w:val="auto"/>
                <w:sz w:val="24"/>
                <w:highlight w:val="none"/>
                <w:lang w:eastAsia="zh-CN"/>
              </w:rPr>
              <w:t>。</w:t>
            </w:r>
          </w:p>
          <w:p w14:paraId="1115F895">
            <w:pPr>
              <w:keepNext w:val="0"/>
              <w:keepLines w:val="0"/>
              <w:pageBreakBefore w:val="0"/>
              <w:widowControl w:val="0"/>
              <w:shd w:val="clear"/>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b/>
                <w:bCs/>
                <w:color w:val="auto"/>
                <w:spacing w:val="-2"/>
                <w:sz w:val="21"/>
                <w:szCs w:val="21"/>
                <w:highlight w:val="none"/>
              </w:rPr>
              <w:t>表</w:t>
            </w:r>
            <w:r>
              <w:rPr>
                <w:rFonts w:hint="eastAsia" w:ascii="宋体" w:hAnsi="宋体" w:eastAsia="宋体" w:cs="宋体"/>
                <w:b/>
                <w:bCs/>
                <w:color w:val="auto"/>
                <w:spacing w:val="-2"/>
                <w:sz w:val="21"/>
                <w:szCs w:val="21"/>
                <w:highlight w:val="none"/>
                <w:lang w:val="en-US" w:eastAsia="zh-CN"/>
              </w:rPr>
              <w:t>3-</w:t>
            </w:r>
            <w:r>
              <w:rPr>
                <w:rFonts w:hint="eastAsia" w:cs="宋体"/>
                <w:b/>
                <w:bCs/>
                <w:color w:val="auto"/>
                <w:spacing w:val="-2"/>
                <w:sz w:val="21"/>
                <w:szCs w:val="21"/>
                <w:highlight w:val="none"/>
                <w:lang w:val="en-US" w:eastAsia="zh-CN"/>
              </w:rPr>
              <w:t>4</w:t>
            </w:r>
            <w:r>
              <w:rPr>
                <w:rFonts w:hint="eastAsia" w:ascii="宋体" w:hAnsi="宋体" w:eastAsia="宋体" w:cs="宋体"/>
                <w:b/>
                <w:bCs/>
                <w:color w:val="auto"/>
                <w:spacing w:val="-2"/>
                <w:sz w:val="21"/>
                <w:szCs w:val="21"/>
                <w:highlight w:val="none"/>
              </w:rPr>
              <w:t xml:space="preserve">  《大气污染物综合排放标准》（GB16297-1996）</w:t>
            </w:r>
          </w:p>
          <w:tbl>
            <w:tblPr>
              <w:tblStyle w:val="14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3066"/>
              <w:gridCol w:w="4792"/>
            </w:tblGrid>
            <w:tr w14:paraId="39FBCF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348" w:type="dxa"/>
                  <w:tcBorders>
                    <w:tl2br w:val="nil"/>
                    <w:tr2bl w:val="nil"/>
                  </w:tcBorders>
                  <w:vAlign w:val="center"/>
                </w:tcPr>
                <w:p w14:paraId="32A3AC19">
                  <w:pPr>
                    <w:keepNext w:val="0"/>
                    <w:keepLines w:val="0"/>
                    <w:pageBreakBefore w:val="0"/>
                    <w:widowControl w:val="0"/>
                    <w:shd w:val="clear"/>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b/>
                      <w:bCs w:val="0"/>
                      <w:color w:val="auto"/>
                      <w:sz w:val="21"/>
                      <w:szCs w:val="21"/>
                      <w:highlight w:val="none"/>
                    </w:rPr>
                  </w:pPr>
                  <w:r>
                    <w:rPr>
                      <w:rFonts w:hint="eastAsia" w:ascii="宋体" w:hAnsi="宋体" w:eastAsia="宋体" w:cs="宋体"/>
                      <w:b/>
                      <w:bCs w:val="0"/>
                      <w:color w:val="auto"/>
                      <w:spacing w:val="-2"/>
                      <w:sz w:val="21"/>
                      <w:szCs w:val="21"/>
                      <w:highlight w:val="none"/>
                    </w:rPr>
                    <w:t>污染物</w:t>
                  </w:r>
                </w:p>
              </w:tc>
              <w:tc>
                <w:tcPr>
                  <w:tcW w:w="5190" w:type="dxa"/>
                  <w:tcBorders>
                    <w:tl2br w:val="nil"/>
                    <w:tr2bl w:val="nil"/>
                  </w:tcBorders>
                  <w:vAlign w:val="center"/>
                </w:tcPr>
                <w:p w14:paraId="0F0DDCC6">
                  <w:pPr>
                    <w:keepNext w:val="0"/>
                    <w:keepLines w:val="0"/>
                    <w:pageBreakBefore w:val="0"/>
                    <w:widowControl w:val="0"/>
                    <w:shd w:val="clear"/>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b/>
                      <w:bCs w:val="0"/>
                      <w:color w:val="auto"/>
                      <w:sz w:val="21"/>
                      <w:szCs w:val="21"/>
                      <w:highlight w:val="none"/>
                    </w:rPr>
                  </w:pPr>
                  <w:r>
                    <w:rPr>
                      <w:rFonts w:hint="eastAsia" w:ascii="宋体" w:hAnsi="宋体" w:eastAsia="宋体" w:cs="宋体"/>
                      <w:b/>
                      <w:bCs w:val="0"/>
                      <w:color w:val="auto"/>
                      <w:spacing w:val="-1"/>
                      <w:sz w:val="21"/>
                      <w:szCs w:val="21"/>
                      <w:highlight w:val="none"/>
                    </w:rPr>
                    <w:t>无组织排放浓度监控限值</w:t>
                  </w:r>
                </w:p>
              </w:tc>
            </w:tr>
            <w:tr w14:paraId="1ADAAC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348" w:type="dxa"/>
                  <w:tcBorders>
                    <w:tl2br w:val="nil"/>
                    <w:tr2bl w:val="nil"/>
                  </w:tcBorders>
                  <w:vAlign w:val="center"/>
                </w:tcPr>
                <w:p w14:paraId="0D05702E">
                  <w:pPr>
                    <w:keepNext w:val="0"/>
                    <w:keepLines w:val="0"/>
                    <w:pageBreakBefore w:val="0"/>
                    <w:widowControl w:val="0"/>
                    <w:shd w:val="clear"/>
                    <w:kinsoku/>
                    <w:wordWrap/>
                    <w:overflowPunct/>
                    <w:topLinePunct w:val="0"/>
                    <w:autoSpaceDE/>
                    <w:autoSpaceDN/>
                    <w:bidi w:val="0"/>
                    <w:adjustRightInd w:val="0"/>
                    <w:snapToGrid w:val="0"/>
                    <w:spacing w:line="240" w:lineRule="auto"/>
                    <w:ind w:left="0" w:firstLine="0" w:firstLineChars="0"/>
                    <w:jc w:val="center"/>
                    <w:textAlignment w:val="auto"/>
                    <w:rPr>
                      <w:rFonts w:hint="default" w:ascii="宋体" w:hAnsi="宋体" w:eastAsia="宋体" w:cs="宋体"/>
                      <w:color w:val="auto"/>
                      <w:sz w:val="21"/>
                      <w:szCs w:val="21"/>
                      <w:highlight w:val="none"/>
                      <w:lang w:val="en-US" w:eastAsia="zh-CN"/>
                    </w:rPr>
                  </w:pPr>
                  <w:r>
                    <w:rPr>
                      <w:rFonts w:hint="eastAsia" w:cs="宋体"/>
                      <w:color w:val="auto"/>
                      <w:spacing w:val="-1"/>
                      <w:sz w:val="21"/>
                      <w:szCs w:val="21"/>
                      <w:highlight w:val="none"/>
                      <w:lang w:val="en-US" w:eastAsia="zh-CN"/>
                    </w:rPr>
                    <w:t>颗粒物</w:t>
                  </w:r>
                </w:p>
              </w:tc>
              <w:tc>
                <w:tcPr>
                  <w:tcW w:w="5190" w:type="dxa"/>
                  <w:tcBorders>
                    <w:tl2br w:val="nil"/>
                    <w:tr2bl w:val="nil"/>
                  </w:tcBorders>
                  <w:vAlign w:val="center"/>
                </w:tcPr>
                <w:p w14:paraId="068BCA28">
                  <w:pPr>
                    <w:pStyle w:val="147"/>
                    <w:keepNext w:val="0"/>
                    <w:keepLines w:val="0"/>
                    <w:pageBreakBefore w:val="0"/>
                    <w:widowControl w:val="0"/>
                    <w:shd w:val="clear"/>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olor w:val="auto"/>
                      <w:highlight w:val="none"/>
                      <w:lang w:val="en-US" w:eastAsia="zh-CN"/>
                    </w:rPr>
                  </w:pPr>
                  <w:r>
                    <w:rPr>
                      <w:rFonts w:hint="eastAsia" w:ascii="宋体" w:hAnsi="宋体" w:eastAsia="宋体" w:cs="宋体"/>
                      <w:color w:val="auto"/>
                      <w:spacing w:val="-3"/>
                      <w:sz w:val="21"/>
                      <w:szCs w:val="21"/>
                      <w:highlight w:val="none"/>
                    </w:rPr>
                    <w:t>1.0mg/m</w:t>
                  </w:r>
                  <w:r>
                    <w:rPr>
                      <w:rFonts w:hint="eastAsia" w:ascii="宋体" w:hAnsi="宋体" w:eastAsia="宋体" w:cs="宋体"/>
                      <w:color w:val="auto"/>
                      <w:spacing w:val="-3"/>
                      <w:sz w:val="21"/>
                      <w:szCs w:val="21"/>
                      <w:highlight w:val="none"/>
                      <w:vertAlign w:val="superscript"/>
                      <w:lang w:val="en-US" w:eastAsia="zh-CN"/>
                    </w:rPr>
                    <w:t>3</w:t>
                  </w:r>
                </w:p>
              </w:tc>
            </w:tr>
          </w:tbl>
          <w:p w14:paraId="47E5FA72">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eastAsia="宋体" w:cs="宋体"/>
                <w:caps w:val="0"/>
                <w:color w:val="auto"/>
                <w:spacing w:val="0"/>
                <w:kern w:val="0"/>
                <w:sz w:val="24"/>
                <w:highlight w:val="none"/>
                <w:lang w:val="en-US" w:eastAsia="zh-CN"/>
              </w:rPr>
            </w:pPr>
            <w:r>
              <w:rPr>
                <w:rFonts w:hint="eastAsia" w:ascii="Times New Roman" w:hAnsi="Times New Roman" w:cs="宋体"/>
                <w:caps w:val="0"/>
                <w:color w:val="auto"/>
                <w:spacing w:val="0"/>
                <w:kern w:val="0"/>
                <w:sz w:val="24"/>
                <w:highlight w:val="none"/>
                <w:lang w:val="en-US" w:eastAsia="zh-CN"/>
              </w:rPr>
              <w:t>运营期：</w:t>
            </w:r>
          </w:p>
          <w:p w14:paraId="23B69D83">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eastAsia" w:ascii="Times New Roman" w:hAnsi="Times New Roman" w:eastAsia="宋体" w:cs="宋体"/>
                <w:caps w:val="0"/>
                <w:color w:val="auto"/>
                <w:spacing w:val="0"/>
                <w:kern w:val="0"/>
                <w:sz w:val="24"/>
                <w:highlight w:val="none"/>
              </w:rPr>
            </w:pPr>
            <w:r>
              <w:rPr>
                <w:rFonts w:hint="eastAsia" w:ascii="Times New Roman" w:hAnsi="Times New Roman" w:eastAsia="宋体" w:cs="宋体"/>
                <w:caps w:val="0"/>
                <w:color w:val="auto"/>
                <w:spacing w:val="0"/>
                <w:kern w:val="0"/>
                <w:sz w:val="24"/>
                <w:highlight w:val="none"/>
                <w:lang w:val="en-US" w:eastAsia="zh-CN"/>
              </w:rPr>
              <w:t>运营期</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spacing w:val="0"/>
                <w:kern w:val="0"/>
                <w:sz w:val="24"/>
                <w:highlight w:val="none"/>
                <w:lang w:val="en-US" w:eastAsia="zh-CN"/>
              </w:rPr>
              <w:t>烟气执行《锅炉大气污染物排放标准》（GB13271-2014）表2新建锅炉大气污染物排放浓度限值。</w:t>
            </w:r>
          </w:p>
          <w:p w14:paraId="4CD28E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caps w:val="0"/>
                <w:color w:val="auto"/>
                <w:spacing w:val="0"/>
                <w:sz w:val="21"/>
                <w:szCs w:val="21"/>
                <w:highlight w:val="none"/>
                <w:lang w:eastAsia="zh-CN"/>
              </w:rPr>
            </w:pPr>
            <w:r>
              <w:rPr>
                <w:rFonts w:hint="eastAsia" w:ascii="Times New Roman" w:hAnsi="Times New Roman" w:eastAsia="宋体" w:cs="宋体"/>
                <w:b/>
                <w:caps w:val="0"/>
                <w:color w:val="auto"/>
                <w:spacing w:val="0"/>
                <w:sz w:val="21"/>
                <w:szCs w:val="21"/>
                <w:highlight w:val="none"/>
              </w:rPr>
              <w:t>表3-</w:t>
            </w:r>
            <w:r>
              <w:rPr>
                <w:rFonts w:hint="eastAsia" w:ascii="Times New Roman" w:hAnsi="Times New Roman" w:cs="宋体"/>
                <w:b/>
                <w:caps w:val="0"/>
                <w:color w:val="auto"/>
                <w:spacing w:val="0"/>
                <w:sz w:val="21"/>
                <w:szCs w:val="21"/>
                <w:highlight w:val="none"/>
                <w:lang w:val="en-US" w:eastAsia="zh-CN"/>
              </w:rPr>
              <w:t>5</w:t>
            </w:r>
            <w:r>
              <w:rPr>
                <w:rFonts w:hint="eastAsia" w:ascii="Times New Roman" w:hAnsi="Times New Roman" w:eastAsia="宋体" w:cs="宋体"/>
                <w:b/>
                <w:caps w:val="0"/>
                <w:color w:val="auto"/>
                <w:spacing w:val="0"/>
                <w:sz w:val="21"/>
                <w:szCs w:val="21"/>
                <w:highlight w:val="none"/>
                <w:lang w:val="en-US" w:eastAsia="zh-CN"/>
              </w:rPr>
              <w:t xml:space="preserve"> 《锅炉大气污染物排放标准》（GB13271-2014）</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73"/>
              <w:gridCol w:w="1769"/>
              <w:gridCol w:w="3316"/>
            </w:tblGrid>
            <w:tr w14:paraId="68EF8A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54" w:hRule="exact"/>
                <w:jc w:val="center"/>
              </w:trPr>
              <w:tc>
                <w:tcPr>
                  <w:tcW w:w="1764" w:type="pct"/>
                  <w:vMerge w:val="restart"/>
                  <w:tcBorders>
                    <w:tl2br w:val="nil"/>
                    <w:tr2bl w:val="nil"/>
                  </w:tcBorders>
                  <w:noWrap w:val="0"/>
                  <w:vAlign w:val="center"/>
                </w:tcPr>
                <w:p w14:paraId="0F1ECAC2">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污染物项目</w:t>
                  </w:r>
                </w:p>
              </w:tc>
              <w:tc>
                <w:tcPr>
                  <w:tcW w:w="1125" w:type="pct"/>
                  <w:tcBorders>
                    <w:tl2br w:val="nil"/>
                    <w:tr2bl w:val="nil"/>
                  </w:tcBorders>
                  <w:noWrap w:val="0"/>
                  <w:vAlign w:val="center"/>
                </w:tcPr>
                <w:p w14:paraId="36BE3A70">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限值mg/m</w:t>
                  </w:r>
                  <w:r>
                    <w:rPr>
                      <w:rFonts w:hint="eastAsia" w:ascii="Times New Roman" w:hAnsi="Times New Roman" w:eastAsia="宋体" w:cs="宋体"/>
                      <w:bCs w:val="0"/>
                      <w:caps w:val="0"/>
                      <w:color w:val="auto"/>
                      <w:spacing w:val="0"/>
                      <w:kern w:val="2"/>
                      <w:sz w:val="21"/>
                      <w:szCs w:val="21"/>
                      <w:highlight w:val="none"/>
                      <w:vertAlign w:val="superscript"/>
                      <w:lang w:val="en-US" w:eastAsia="zh-CN" w:bidi="ar-SA"/>
                    </w:rPr>
                    <w:t>3</w:t>
                  </w:r>
                </w:p>
              </w:tc>
              <w:tc>
                <w:tcPr>
                  <w:tcW w:w="2109" w:type="pct"/>
                  <w:vMerge w:val="restart"/>
                  <w:tcBorders>
                    <w:tl2br w:val="nil"/>
                    <w:tr2bl w:val="nil"/>
                  </w:tcBorders>
                  <w:noWrap w:val="0"/>
                  <w:vAlign w:val="center"/>
                </w:tcPr>
                <w:p w14:paraId="2533285F">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污染物排放监控位置</w:t>
                  </w:r>
                </w:p>
              </w:tc>
            </w:tr>
            <w:tr w14:paraId="56FB81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vMerge w:val="continue"/>
                  <w:tcBorders>
                    <w:tl2br w:val="nil"/>
                    <w:tr2bl w:val="nil"/>
                  </w:tcBorders>
                  <w:noWrap w:val="0"/>
                  <w:vAlign w:val="center"/>
                </w:tcPr>
                <w:p w14:paraId="10FD4517">
                  <w:pPr>
                    <w:pStyle w:val="2"/>
                    <w:spacing w:after="0" w:line="240" w:lineRule="auto"/>
                    <w:ind w:left="0" w:leftChars="0" w:firstLine="360"/>
                    <w:jc w:val="center"/>
                    <w:rPr>
                      <w:rFonts w:hint="eastAsia" w:ascii="Times New Roman" w:hAnsi="Times New Roman" w:eastAsia="宋体" w:cs="宋体"/>
                      <w:bCs w:val="0"/>
                      <w:caps w:val="0"/>
                      <w:color w:val="auto"/>
                      <w:spacing w:val="0"/>
                      <w:kern w:val="2"/>
                      <w:sz w:val="21"/>
                      <w:szCs w:val="21"/>
                      <w:highlight w:val="none"/>
                      <w:lang w:val="en-US" w:eastAsia="zh-CN" w:bidi="ar-SA"/>
                    </w:rPr>
                  </w:pPr>
                </w:p>
              </w:tc>
              <w:tc>
                <w:tcPr>
                  <w:tcW w:w="1125" w:type="pct"/>
                  <w:tcBorders>
                    <w:tl2br w:val="nil"/>
                    <w:tr2bl w:val="nil"/>
                  </w:tcBorders>
                  <w:noWrap w:val="0"/>
                  <w:vAlign w:val="center"/>
                </w:tcPr>
                <w:p w14:paraId="754AB066">
                  <w:pPr>
                    <w:pStyle w:val="2"/>
                    <w:spacing w:after="0" w:line="240" w:lineRule="auto"/>
                    <w:ind w:left="0" w:leftChars="0" w:firstLine="0" w:firstLineChars="0"/>
                    <w:jc w:val="center"/>
                    <w:rPr>
                      <w:rFonts w:hint="default"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燃油锅炉</w:t>
                  </w:r>
                </w:p>
              </w:tc>
              <w:tc>
                <w:tcPr>
                  <w:tcW w:w="2109" w:type="pct"/>
                  <w:vMerge w:val="continue"/>
                  <w:tcBorders>
                    <w:tl2br w:val="nil"/>
                    <w:tr2bl w:val="nil"/>
                  </w:tcBorders>
                  <w:noWrap w:val="0"/>
                  <w:vAlign w:val="center"/>
                </w:tcPr>
                <w:p w14:paraId="065123BA">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p>
              </w:tc>
            </w:tr>
            <w:tr w14:paraId="0BD656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tcBorders>
                    <w:tl2br w:val="nil"/>
                    <w:tr2bl w:val="nil"/>
                  </w:tcBorders>
                  <w:noWrap w:val="0"/>
                  <w:vAlign w:val="center"/>
                </w:tcPr>
                <w:p w14:paraId="1B17164D">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颗粒物</w:t>
                  </w:r>
                </w:p>
              </w:tc>
              <w:tc>
                <w:tcPr>
                  <w:tcW w:w="1125" w:type="pct"/>
                  <w:tcBorders>
                    <w:tl2br w:val="nil"/>
                    <w:tr2bl w:val="nil"/>
                  </w:tcBorders>
                  <w:noWrap w:val="0"/>
                  <w:vAlign w:val="center"/>
                </w:tcPr>
                <w:p w14:paraId="633429D2">
                  <w:pPr>
                    <w:pStyle w:val="2"/>
                    <w:spacing w:after="0" w:line="240" w:lineRule="auto"/>
                    <w:ind w:left="0" w:leftChars="0" w:firstLine="0" w:firstLineChars="0"/>
                    <w:jc w:val="center"/>
                    <w:rPr>
                      <w:rFonts w:hint="default"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30</w:t>
                  </w:r>
                </w:p>
              </w:tc>
              <w:tc>
                <w:tcPr>
                  <w:tcW w:w="2109" w:type="pct"/>
                  <w:vMerge w:val="restart"/>
                  <w:tcBorders>
                    <w:tl2br w:val="nil"/>
                    <w:tr2bl w:val="nil"/>
                  </w:tcBorders>
                  <w:noWrap w:val="0"/>
                  <w:vAlign w:val="center"/>
                </w:tcPr>
                <w:p w14:paraId="6E689CA5">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烟囱或烟道</w:t>
                  </w:r>
                </w:p>
              </w:tc>
            </w:tr>
            <w:tr w14:paraId="66228D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tcBorders>
                    <w:tl2br w:val="nil"/>
                    <w:tr2bl w:val="nil"/>
                  </w:tcBorders>
                  <w:noWrap w:val="0"/>
                  <w:vAlign w:val="center"/>
                </w:tcPr>
                <w:p w14:paraId="3A314850">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二氧化硫</w:t>
                  </w:r>
                </w:p>
              </w:tc>
              <w:tc>
                <w:tcPr>
                  <w:tcW w:w="1125" w:type="pct"/>
                  <w:tcBorders>
                    <w:tl2br w:val="nil"/>
                    <w:tr2bl w:val="nil"/>
                  </w:tcBorders>
                  <w:noWrap w:val="0"/>
                  <w:vAlign w:val="center"/>
                </w:tcPr>
                <w:p w14:paraId="757B0FA3">
                  <w:pPr>
                    <w:pStyle w:val="2"/>
                    <w:spacing w:after="0" w:line="240" w:lineRule="auto"/>
                    <w:ind w:left="0" w:leftChars="0" w:firstLine="0" w:firstLineChars="0"/>
                    <w:jc w:val="center"/>
                    <w:rPr>
                      <w:rFonts w:hint="default"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200</w:t>
                  </w:r>
                </w:p>
              </w:tc>
              <w:tc>
                <w:tcPr>
                  <w:tcW w:w="2109" w:type="pct"/>
                  <w:vMerge w:val="continue"/>
                  <w:tcBorders>
                    <w:tl2br w:val="nil"/>
                    <w:tr2bl w:val="nil"/>
                  </w:tcBorders>
                  <w:noWrap w:val="0"/>
                  <w:vAlign w:val="center"/>
                </w:tcPr>
                <w:p w14:paraId="3EF7142D">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p>
              </w:tc>
            </w:tr>
            <w:tr w14:paraId="506798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tcBorders>
                    <w:tl2br w:val="nil"/>
                    <w:tr2bl w:val="nil"/>
                  </w:tcBorders>
                  <w:noWrap w:val="0"/>
                  <w:vAlign w:val="center"/>
                </w:tcPr>
                <w:p w14:paraId="22C46B78">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氮氧化物</w:t>
                  </w:r>
                </w:p>
              </w:tc>
              <w:tc>
                <w:tcPr>
                  <w:tcW w:w="1125" w:type="pct"/>
                  <w:tcBorders>
                    <w:tl2br w:val="nil"/>
                    <w:tr2bl w:val="nil"/>
                  </w:tcBorders>
                  <w:noWrap w:val="0"/>
                  <w:vAlign w:val="center"/>
                </w:tcPr>
                <w:p w14:paraId="1DE9288D">
                  <w:pPr>
                    <w:pStyle w:val="2"/>
                    <w:spacing w:after="0" w:line="240" w:lineRule="auto"/>
                    <w:ind w:left="0" w:leftChars="0" w:firstLine="0" w:firstLineChars="0"/>
                    <w:jc w:val="center"/>
                    <w:rPr>
                      <w:rFonts w:hint="default"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250</w:t>
                  </w:r>
                </w:p>
              </w:tc>
              <w:tc>
                <w:tcPr>
                  <w:tcW w:w="2109" w:type="pct"/>
                  <w:vMerge w:val="continue"/>
                  <w:tcBorders>
                    <w:tl2br w:val="nil"/>
                    <w:tr2bl w:val="nil"/>
                  </w:tcBorders>
                  <w:noWrap w:val="0"/>
                  <w:vAlign w:val="center"/>
                </w:tcPr>
                <w:p w14:paraId="3B3646C3">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p>
              </w:tc>
            </w:tr>
            <w:tr w14:paraId="21EF06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tcBorders>
                    <w:tl2br w:val="nil"/>
                    <w:tr2bl w:val="nil"/>
                  </w:tcBorders>
                  <w:noWrap w:val="0"/>
                  <w:vAlign w:val="center"/>
                </w:tcPr>
                <w:p w14:paraId="14ECA068">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烟气黑度（林格曼黑度，级）</w:t>
                  </w:r>
                </w:p>
              </w:tc>
              <w:tc>
                <w:tcPr>
                  <w:tcW w:w="1125" w:type="pct"/>
                  <w:tcBorders>
                    <w:tl2br w:val="nil"/>
                    <w:tr2bl w:val="nil"/>
                  </w:tcBorders>
                  <w:noWrap w:val="0"/>
                  <w:vAlign w:val="center"/>
                </w:tcPr>
                <w:p w14:paraId="30E5D0BC">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≤1</w:t>
                  </w:r>
                </w:p>
              </w:tc>
              <w:tc>
                <w:tcPr>
                  <w:tcW w:w="2109" w:type="pct"/>
                  <w:tcBorders>
                    <w:tl2br w:val="nil"/>
                    <w:tr2bl w:val="nil"/>
                  </w:tcBorders>
                  <w:noWrap w:val="0"/>
                  <w:vAlign w:val="center"/>
                </w:tcPr>
                <w:p w14:paraId="136602CA">
                  <w:pPr>
                    <w:pStyle w:val="2"/>
                    <w:spacing w:after="0" w:line="240" w:lineRule="auto"/>
                    <w:ind w:left="0" w:leftChars="0" w:firstLine="0" w:firstLineChars="0"/>
                    <w:jc w:val="center"/>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烟囱排放口</w:t>
                  </w:r>
                </w:p>
              </w:tc>
            </w:tr>
          </w:tbl>
          <w:p w14:paraId="38D42D3E">
            <w:pPr>
              <w:pStyle w:val="2"/>
              <w:keepNext w:val="0"/>
              <w:keepLines w:val="0"/>
              <w:pageBreakBefore w:val="0"/>
              <w:widowControl w:val="0"/>
              <w:kinsoku/>
              <w:wordWrap/>
              <w:overflowPunct/>
              <w:topLinePunct w:val="0"/>
              <w:autoSpaceDE/>
              <w:autoSpaceDN/>
              <w:bidi w:val="0"/>
              <w:adjustRightInd w:val="0"/>
              <w:snapToGrid w:val="0"/>
              <w:spacing w:after="0"/>
              <w:ind w:left="0" w:leftChars="0"/>
              <w:jc w:val="both"/>
              <w:textAlignment w:val="auto"/>
              <w:rPr>
                <w:rFonts w:hint="eastAsia"/>
                <w:b w:val="0"/>
                <w:bCs/>
                <w:color w:val="auto"/>
                <w:sz w:val="24"/>
                <w:highlight w:val="none"/>
                <w:lang w:val="en-US" w:eastAsia="zh-CN"/>
              </w:rPr>
            </w:pPr>
            <w:r>
              <w:rPr>
                <w:rFonts w:hint="eastAsia" w:cs="宋体"/>
                <w:b w:val="0"/>
                <w:bCs/>
                <w:caps w:val="0"/>
                <w:color w:val="auto"/>
                <w:spacing w:val="0"/>
                <w:sz w:val="24"/>
                <w:szCs w:val="24"/>
                <w:highlight w:val="none"/>
                <w:lang w:val="en-US" w:eastAsia="zh-CN"/>
              </w:rPr>
              <w:t>燃料储罐大小呼吸废气无组织排放车间界执行《挥发性有机物无组织排放控制标准》（GB37822-2019），厂界执行</w:t>
            </w:r>
            <w:r>
              <w:rPr>
                <w:rFonts w:hint="eastAsia"/>
                <w:b w:val="0"/>
                <w:bCs/>
                <w:color w:val="auto"/>
                <w:sz w:val="24"/>
                <w:highlight w:val="none"/>
              </w:rPr>
              <w:t>《大气污染物综合排放标准》（GB16297-1996）</w:t>
            </w:r>
            <w:r>
              <w:rPr>
                <w:rFonts w:hint="eastAsia"/>
                <w:b w:val="0"/>
                <w:bCs/>
                <w:color w:val="auto"/>
                <w:sz w:val="24"/>
                <w:highlight w:val="none"/>
                <w:lang w:val="en-US" w:eastAsia="zh-CN"/>
              </w:rPr>
              <w:t>表2限值。</w:t>
            </w:r>
          </w:p>
          <w:p w14:paraId="4DD0F280">
            <w:pPr>
              <w:pStyle w:val="4"/>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eastAsia"/>
                <w:highlight w:val="none"/>
                <w:lang w:val="en-US" w:eastAsia="zh-CN"/>
              </w:rPr>
            </w:pPr>
            <w:r>
              <w:rPr>
                <w:rFonts w:hint="eastAsia" w:ascii="Times New Roman" w:hAnsi="Times New Roman" w:eastAsia="宋体" w:cs="宋体"/>
                <w:b/>
                <w:bCs/>
                <w:caps w:val="0"/>
                <w:color w:val="auto"/>
                <w:spacing w:val="0"/>
                <w:kern w:val="2"/>
                <w:sz w:val="21"/>
                <w:szCs w:val="21"/>
                <w:highlight w:val="none"/>
                <w:lang w:val="en-US" w:eastAsia="zh-CN" w:bidi="ar-SA"/>
              </w:rPr>
              <w:t>表3-6《挥发性有机物无组织排放控制标准》（GB37822-2019）</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54"/>
              <w:gridCol w:w="2206"/>
              <w:gridCol w:w="3498"/>
            </w:tblGrid>
            <w:tr w14:paraId="6F4F08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71" w:type="pct"/>
                  <w:tcBorders>
                    <w:tl2br w:val="nil"/>
                    <w:tr2bl w:val="nil"/>
                  </w:tcBorders>
                  <w:noWrap w:val="0"/>
                  <w:vAlign w:val="center"/>
                </w:tcPr>
                <w:p w14:paraId="14D24A13">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污染物项目</w:t>
                  </w:r>
                </w:p>
              </w:tc>
              <w:tc>
                <w:tcPr>
                  <w:tcW w:w="1403" w:type="pct"/>
                  <w:tcBorders>
                    <w:tl2br w:val="nil"/>
                    <w:tr2bl w:val="nil"/>
                  </w:tcBorders>
                  <w:noWrap w:val="0"/>
                  <w:vAlign w:val="center"/>
                </w:tcPr>
                <w:p w14:paraId="0F05699A">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排放限值</w:t>
                  </w:r>
                </w:p>
              </w:tc>
              <w:tc>
                <w:tcPr>
                  <w:tcW w:w="2225" w:type="pct"/>
                  <w:tcBorders>
                    <w:tl2br w:val="nil"/>
                    <w:tr2bl w:val="nil"/>
                  </w:tcBorders>
                  <w:noWrap w:val="0"/>
                  <w:vAlign w:val="center"/>
                </w:tcPr>
                <w:p w14:paraId="006AD245">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限值含义</w:t>
                  </w:r>
                </w:p>
              </w:tc>
            </w:tr>
            <w:tr w14:paraId="4E0916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71" w:type="pct"/>
                  <w:vMerge w:val="restart"/>
                  <w:tcBorders>
                    <w:tl2br w:val="nil"/>
                    <w:tr2bl w:val="nil"/>
                  </w:tcBorders>
                  <w:noWrap w:val="0"/>
                  <w:vAlign w:val="center"/>
                </w:tcPr>
                <w:p w14:paraId="4C955872">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18"/>
                      <w:highlight w:val="none"/>
                      <w:lang w:val="en-US" w:eastAsia="zh-CN"/>
                    </w:rPr>
                  </w:pPr>
                  <w:r>
                    <w:rPr>
                      <w:rFonts w:hint="eastAsia" w:ascii="Times New Roman" w:hAnsi="Times New Roman" w:eastAsia="宋体" w:cs="宋体"/>
                      <w:b w:val="0"/>
                      <w:bCs w:val="0"/>
                      <w:caps w:val="0"/>
                      <w:color w:val="auto"/>
                      <w:spacing w:val="0"/>
                      <w:sz w:val="21"/>
                      <w:szCs w:val="18"/>
                      <w:highlight w:val="none"/>
                      <w:lang w:val="en-US" w:eastAsia="zh-CN"/>
                    </w:rPr>
                    <w:t>NMHC</w:t>
                  </w:r>
                </w:p>
              </w:tc>
              <w:tc>
                <w:tcPr>
                  <w:tcW w:w="1403" w:type="pct"/>
                  <w:tcBorders>
                    <w:tl2br w:val="nil"/>
                    <w:tr2bl w:val="nil"/>
                  </w:tcBorders>
                  <w:noWrap w:val="0"/>
                  <w:vAlign w:val="center"/>
                </w:tcPr>
                <w:p w14:paraId="3C38CEA6">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10</w:t>
                  </w:r>
                  <w:r>
                    <w:rPr>
                      <w:rFonts w:hint="eastAsia" w:ascii="宋体" w:hAnsi="宋体" w:eastAsia="宋体" w:cs="宋体"/>
                      <w:color w:val="auto"/>
                      <w:spacing w:val="-3"/>
                      <w:sz w:val="21"/>
                      <w:szCs w:val="21"/>
                      <w:highlight w:val="none"/>
                    </w:rPr>
                    <w:t>mg/m</w:t>
                  </w:r>
                  <w:r>
                    <w:rPr>
                      <w:rFonts w:hint="eastAsia" w:ascii="宋体" w:hAnsi="宋体" w:eastAsia="宋体" w:cs="宋体"/>
                      <w:color w:val="auto"/>
                      <w:spacing w:val="-3"/>
                      <w:sz w:val="21"/>
                      <w:szCs w:val="21"/>
                      <w:highlight w:val="none"/>
                      <w:vertAlign w:val="superscript"/>
                      <w:lang w:val="en-US" w:eastAsia="zh-CN"/>
                    </w:rPr>
                    <w:t>3</w:t>
                  </w:r>
                </w:p>
              </w:tc>
              <w:tc>
                <w:tcPr>
                  <w:tcW w:w="2225" w:type="pct"/>
                  <w:tcBorders>
                    <w:tl2br w:val="nil"/>
                    <w:tr2bl w:val="nil"/>
                  </w:tcBorders>
                  <w:noWrap w:val="0"/>
                  <w:vAlign w:val="center"/>
                </w:tcPr>
                <w:p w14:paraId="1F6330F0">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监控点处1h平均浓度限值</w:t>
                  </w:r>
                </w:p>
              </w:tc>
            </w:tr>
            <w:tr w14:paraId="52B111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71" w:type="pct"/>
                  <w:vMerge w:val="continue"/>
                  <w:tcBorders>
                    <w:tl2br w:val="nil"/>
                    <w:tr2bl w:val="nil"/>
                  </w:tcBorders>
                  <w:noWrap w:val="0"/>
                  <w:vAlign w:val="center"/>
                </w:tcPr>
                <w:p w14:paraId="00FC0A95">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18"/>
                      <w:highlight w:val="none"/>
                    </w:rPr>
                  </w:pPr>
                </w:p>
              </w:tc>
              <w:tc>
                <w:tcPr>
                  <w:tcW w:w="1403" w:type="pct"/>
                  <w:tcBorders>
                    <w:tl2br w:val="nil"/>
                    <w:tr2bl w:val="nil"/>
                  </w:tcBorders>
                  <w:noWrap w:val="0"/>
                  <w:vAlign w:val="center"/>
                </w:tcPr>
                <w:p w14:paraId="6ADD4C53">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30</w:t>
                  </w:r>
                  <w:r>
                    <w:rPr>
                      <w:rFonts w:hint="eastAsia" w:ascii="宋体" w:hAnsi="宋体" w:eastAsia="宋体" w:cs="宋体"/>
                      <w:color w:val="auto"/>
                      <w:spacing w:val="-3"/>
                      <w:sz w:val="21"/>
                      <w:szCs w:val="21"/>
                      <w:highlight w:val="none"/>
                    </w:rPr>
                    <w:t>mg/m</w:t>
                  </w:r>
                  <w:r>
                    <w:rPr>
                      <w:rFonts w:hint="eastAsia" w:ascii="宋体" w:hAnsi="宋体" w:eastAsia="宋体" w:cs="宋体"/>
                      <w:color w:val="auto"/>
                      <w:spacing w:val="-3"/>
                      <w:sz w:val="21"/>
                      <w:szCs w:val="21"/>
                      <w:highlight w:val="none"/>
                      <w:vertAlign w:val="superscript"/>
                      <w:lang w:val="en-US" w:eastAsia="zh-CN"/>
                    </w:rPr>
                    <w:t>3</w:t>
                  </w:r>
                </w:p>
              </w:tc>
              <w:tc>
                <w:tcPr>
                  <w:tcW w:w="2225" w:type="pct"/>
                  <w:tcBorders>
                    <w:tl2br w:val="nil"/>
                    <w:tr2bl w:val="nil"/>
                  </w:tcBorders>
                  <w:noWrap w:val="0"/>
                  <w:vAlign w:val="center"/>
                </w:tcPr>
                <w:p w14:paraId="64F38052">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监控点处任意一次浓度限值</w:t>
                  </w:r>
                </w:p>
              </w:tc>
            </w:tr>
          </w:tbl>
          <w:p w14:paraId="54FC1267">
            <w:pPr>
              <w:keepNext w:val="0"/>
              <w:keepLines w:val="0"/>
              <w:pageBreakBefore w:val="0"/>
              <w:widowControl w:val="0"/>
              <w:shd w:val="clear"/>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b/>
                <w:bCs/>
                <w:color w:val="auto"/>
                <w:spacing w:val="-2"/>
                <w:sz w:val="21"/>
                <w:szCs w:val="21"/>
                <w:highlight w:val="none"/>
              </w:rPr>
              <w:t>表</w:t>
            </w:r>
            <w:r>
              <w:rPr>
                <w:rFonts w:hint="eastAsia" w:ascii="宋体" w:hAnsi="宋体" w:eastAsia="宋体" w:cs="宋体"/>
                <w:b/>
                <w:bCs/>
                <w:color w:val="auto"/>
                <w:spacing w:val="-2"/>
                <w:sz w:val="21"/>
                <w:szCs w:val="21"/>
                <w:highlight w:val="none"/>
                <w:lang w:val="en-US" w:eastAsia="zh-CN"/>
              </w:rPr>
              <w:t>3-</w:t>
            </w:r>
            <w:r>
              <w:rPr>
                <w:rFonts w:hint="eastAsia" w:cs="宋体"/>
                <w:b/>
                <w:bCs/>
                <w:color w:val="auto"/>
                <w:spacing w:val="-2"/>
                <w:sz w:val="21"/>
                <w:szCs w:val="21"/>
                <w:highlight w:val="none"/>
                <w:lang w:val="en-US" w:eastAsia="zh-CN"/>
              </w:rPr>
              <w:t>7</w:t>
            </w:r>
            <w:r>
              <w:rPr>
                <w:rFonts w:hint="eastAsia" w:ascii="宋体" w:hAnsi="宋体" w:eastAsia="宋体" w:cs="宋体"/>
                <w:b/>
                <w:bCs/>
                <w:color w:val="auto"/>
                <w:spacing w:val="-2"/>
                <w:sz w:val="21"/>
                <w:szCs w:val="21"/>
                <w:highlight w:val="none"/>
              </w:rPr>
              <w:t xml:space="preserve">  《大气污染物综合排放标准》（GB16297-1996）</w:t>
            </w:r>
          </w:p>
          <w:tbl>
            <w:tblPr>
              <w:tblStyle w:val="14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3066"/>
              <w:gridCol w:w="4792"/>
            </w:tblGrid>
            <w:tr w14:paraId="47994B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348" w:type="dxa"/>
                  <w:tcBorders>
                    <w:tl2br w:val="nil"/>
                    <w:tr2bl w:val="nil"/>
                  </w:tcBorders>
                  <w:vAlign w:val="center"/>
                </w:tcPr>
                <w:p w14:paraId="0EE4408D">
                  <w:pPr>
                    <w:keepNext w:val="0"/>
                    <w:keepLines w:val="0"/>
                    <w:pageBreakBefore w:val="0"/>
                    <w:widowControl w:val="0"/>
                    <w:shd w:val="clear"/>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b/>
                      <w:bCs w:val="0"/>
                      <w:color w:val="auto"/>
                      <w:sz w:val="21"/>
                      <w:szCs w:val="21"/>
                      <w:highlight w:val="none"/>
                    </w:rPr>
                  </w:pPr>
                  <w:r>
                    <w:rPr>
                      <w:rFonts w:hint="eastAsia" w:ascii="宋体" w:hAnsi="宋体" w:eastAsia="宋体" w:cs="宋体"/>
                      <w:b/>
                      <w:bCs w:val="0"/>
                      <w:color w:val="auto"/>
                      <w:spacing w:val="-2"/>
                      <w:sz w:val="21"/>
                      <w:szCs w:val="21"/>
                      <w:highlight w:val="none"/>
                    </w:rPr>
                    <w:t>污染物</w:t>
                  </w:r>
                </w:p>
              </w:tc>
              <w:tc>
                <w:tcPr>
                  <w:tcW w:w="5190" w:type="dxa"/>
                  <w:tcBorders>
                    <w:tl2br w:val="nil"/>
                    <w:tr2bl w:val="nil"/>
                  </w:tcBorders>
                  <w:vAlign w:val="center"/>
                </w:tcPr>
                <w:p w14:paraId="3EB53723">
                  <w:pPr>
                    <w:keepNext w:val="0"/>
                    <w:keepLines w:val="0"/>
                    <w:pageBreakBefore w:val="0"/>
                    <w:widowControl w:val="0"/>
                    <w:shd w:val="clear"/>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b/>
                      <w:bCs w:val="0"/>
                      <w:color w:val="auto"/>
                      <w:sz w:val="21"/>
                      <w:szCs w:val="21"/>
                      <w:highlight w:val="none"/>
                    </w:rPr>
                  </w:pPr>
                  <w:r>
                    <w:rPr>
                      <w:rFonts w:hint="eastAsia" w:ascii="宋体" w:hAnsi="宋体" w:eastAsia="宋体" w:cs="宋体"/>
                      <w:b/>
                      <w:bCs w:val="0"/>
                      <w:color w:val="auto"/>
                      <w:spacing w:val="-1"/>
                      <w:sz w:val="21"/>
                      <w:szCs w:val="21"/>
                      <w:highlight w:val="none"/>
                    </w:rPr>
                    <w:t>无组织排放浓度监控限值</w:t>
                  </w:r>
                </w:p>
              </w:tc>
            </w:tr>
            <w:tr w14:paraId="68C8D6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348" w:type="dxa"/>
                  <w:tcBorders>
                    <w:tl2br w:val="nil"/>
                    <w:tr2bl w:val="nil"/>
                  </w:tcBorders>
                  <w:vAlign w:val="center"/>
                </w:tcPr>
                <w:p w14:paraId="1D71FD01">
                  <w:pPr>
                    <w:keepNext w:val="0"/>
                    <w:keepLines w:val="0"/>
                    <w:pageBreakBefore w:val="0"/>
                    <w:widowControl w:val="0"/>
                    <w:shd w:val="clear"/>
                    <w:kinsoku/>
                    <w:wordWrap/>
                    <w:overflowPunct/>
                    <w:topLinePunct w:val="0"/>
                    <w:autoSpaceDE/>
                    <w:autoSpaceDN/>
                    <w:bidi w:val="0"/>
                    <w:adjustRightInd w:val="0"/>
                    <w:snapToGrid w:val="0"/>
                    <w:spacing w:line="240" w:lineRule="auto"/>
                    <w:ind w:left="0" w:firstLine="0" w:firstLineChars="0"/>
                    <w:jc w:val="center"/>
                    <w:textAlignment w:val="auto"/>
                    <w:rPr>
                      <w:rFonts w:hint="default" w:ascii="宋体" w:hAnsi="宋体" w:eastAsia="宋体" w:cs="宋体"/>
                      <w:color w:val="auto"/>
                      <w:sz w:val="21"/>
                      <w:szCs w:val="21"/>
                      <w:highlight w:val="none"/>
                      <w:lang w:val="en-US" w:eastAsia="zh-CN"/>
                    </w:rPr>
                  </w:pPr>
                  <w:r>
                    <w:rPr>
                      <w:rFonts w:hint="eastAsia" w:cs="宋体"/>
                      <w:color w:val="auto"/>
                      <w:spacing w:val="-1"/>
                      <w:sz w:val="21"/>
                      <w:szCs w:val="21"/>
                      <w:highlight w:val="none"/>
                      <w:lang w:val="en-US" w:eastAsia="zh-CN"/>
                    </w:rPr>
                    <w:t>非甲烷总烃</w:t>
                  </w:r>
                </w:p>
              </w:tc>
              <w:tc>
                <w:tcPr>
                  <w:tcW w:w="5190" w:type="dxa"/>
                  <w:tcBorders>
                    <w:tl2br w:val="nil"/>
                    <w:tr2bl w:val="nil"/>
                  </w:tcBorders>
                  <w:vAlign w:val="center"/>
                </w:tcPr>
                <w:p w14:paraId="6BF67D93">
                  <w:pPr>
                    <w:pStyle w:val="147"/>
                    <w:keepNext w:val="0"/>
                    <w:keepLines w:val="0"/>
                    <w:pageBreakBefore w:val="0"/>
                    <w:widowControl w:val="0"/>
                    <w:shd w:val="clear"/>
                    <w:kinsoku/>
                    <w:wordWrap/>
                    <w:overflowPunct/>
                    <w:topLinePunct w:val="0"/>
                    <w:autoSpaceDE/>
                    <w:autoSpaceDN/>
                    <w:bidi w:val="0"/>
                    <w:adjustRightInd w:val="0"/>
                    <w:snapToGrid w:val="0"/>
                    <w:spacing w:line="240" w:lineRule="auto"/>
                    <w:ind w:left="0" w:firstLine="0" w:firstLineChars="0"/>
                    <w:jc w:val="center"/>
                    <w:textAlignment w:val="auto"/>
                    <w:rPr>
                      <w:rFonts w:hint="eastAsia" w:ascii="宋体" w:hAnsi="宋体" w:eastAsia="宋体" w:cs="宋体"/>
                      <w:color w:val="auto"/>
                      <w:highlight w:val="none"/>
                      <w:lang w:val="en-US" w:eastAsia="zh-CN"/>
                    </w:rPr>
                  </w:pPr>
                  <w:r>
                    <w:rPr>
                      <w:rFonts w:hint="eastAsia" w:cs="宋体"/>
                      <w:color w:val="auto"/>
                      <w:spacing w:val="-3"/>
                      <w:sz w:val="21"/>
                      <w:szCs w:val="21"/>
                      <w:highlight w:val="none"/>
                      <w:lang w:val="en-US" w:eastAsia="zh-CN"/>
                    </w:rPr>
                    <w:t>4</w:t>
                  </w:r>
                  <w:r>
                    <w:rPr>
                      <w:rFonts w:hint="eastAsia" w:ascii="宋体" w:hAnsi="宋体" w:eastAsia="宋体" w:cs="宋体"/>
                      <w:color w:val="auto"/>
                      <w:spacing w:val="-3"/>
                      <w:sz w:val="21"/>
                      <w:szCs w:val="21"/>
                      <w:highlight w:val="none"/>
                    </w:rPr>
                    <w:t>.0mg/m</w:t>
                  </w:r>
                  <w:r>
                    <w:rPr>
                      <w:rFonts w:hint="eastAsia" w:ascii="宋体" w:hAnsi="宋体" w:eastAsia="宋体" w:cs="宋体"/>
                      <w:color w:val="auto"/>
                      <w:spacing w:val="-3"/>
                      <w:sz w:val="21"/>
                      <w:szCs w:val="21"/>
                      <w:highlight w:val="none"/>
                      <w:vertAlign w:val="superscript"/>
                      <w:lang w:val="en-US" w:eastAsia="zh-CN"/>
                    </w:rPr>
                    <w:t>3</w:t>
                  </w:r>
                </w:p>
              </w:tc>
            </w:tr>
          </w:tbl>
          <w:p w14:paraId="51B61CA1">
            <w:pPr>
              <w:spacing w:line="360" w:lineRule="auto"/>
              <w:ind w:left="0" w:leftChars="0" w:firstLine="0" w:firstLineChars="0"/>
              <w:rPr>
                <w:rFonts w:hint="eastAsia" w:ascii="Times New Roman" w:hAnsi="Times New Roman" w:eastAsia="宋体" w:cs="宋体"/>
                <w:b/>
                <w:bCs w:val="0"/>
                <w:caps w:val="0"/>
                <w:color w:val="auto"/>
                <w:spacing w:val="0"/>
                <w:sz w:val="24"/>
                <w:szCs w:val="24"/>
                <w:highlight w:val="none"/>
                <w:lang w:val="en-US" w:eastAsia="zh-CN"/>
              </w:rPr>
            </w:pPr>
            <w:r>
              <w:rPr>
                <w:rFonts w:hint="eastAsia" w:ascii="Times New Roman" w:hAnsi="Times New Roman" w:eastAsia="宋体" w:cs="宋体"/>
                <w:b/>
                <w:bCs w:val="0"/>
                <w:caps w:val="0"/>
                <w:color w:val="auto"/>
                <w:spacing w:val="0"/>
                <w:sz w:val="24"/>
                <w:szCs w:val="24"/>
                <w:highlight w:val="none"/>
                <w:lang w:val="en-US" w:eastAsia="zh-CN"/>
              </w:rPr>
              <w:t>2.噪声</w:t>
            </w:r>
          </w:p>
          <w:p w14:paraId="1AE595EA">
            <w:pPr>
              <w:adjustRightInd w:val="0"/>
              <w:snapToGrid w:val="0"/>
              <w:spacing w:line="360" w:lineRule="auto"/>
              <w:ind w:firstLine="480" w:firstLineChars="200"/>
              <w:rPr>
                <w:rFonts w:hint="eastAsia" w:ascii="Times New Roman" w:hAnsi="Times New Roman" w:eastAsia="宋体" w:cs="宋体"/>
                <w:caps w:val="0"/>
                <w:color w:val="auto"/>
                <w:spacing w:val="0"/>
                <w:kern w:val="0"/>
                <w:sz w:val="24"/>
                <w:highlight w:val="none"/>
              </w:rPr>
            </w:pPr>
            <w:r>
              <w:rPr>
                <w:rFonts w:hint="eastAsia" w:ascii="Times New Roman" w:hAnsi="Times New Roman" w:eastAsia="宋体" w:cs="宋体"/>
                <w:caps w:val="0"/>
                <w:color w:val="auto"/>
                <w:spacing w:val="0"/>
                <w:kern w:val="0"/>
                <w:sz w:val="24"/>
                <w:highlight w:val="none"/>
              </w:rPr>
              <w:t>施工期噪声执行《建筑施工噪声排放标准》（GB 12523-2025</w:t>
            </w:r>
            <w:r>
              <w:rPr>
                <w:rFonts w:hint="eastAsia" w:ascii="Times New Roman" w:hAnsi="Times New Roman" w:cs="宋体"/>
                <w:caps w:val="0"/>
                <w:color w:val="auto"/>
                <w:spacing w:val="0"/>
                <w:kern w:val="0"/>
                <w:sz w:val="24"/>
                <w:highlight w:val="none"/>
                <w:lang w:eastAsia="zh-CN"/>
              </w:rPr>
              <w:t>）</w:t>
            </w:r>
            <w:r>
              <w:rPr>
                <w:rFonts w:hint="eastAsia" w:ascii="Times New Roman" w:hAnsi="Times New Roman" w:eastAsia="宋体" w:cs="宋体"/>
                <w:caps w:val="0"/>
                <w:color w:val="auto"/>
                <w:spacing w:val="0"/>
                <w:kern w:val="0"/>
                <w:sz w:val="24"/>
                <w:highlight w:val="none"/>
              </w:rPr>
              <w:t>。</w:t>
            </w:r>
          </w:p>
          <w:p w14:paraId="37ED188D">
            <w:pPr>
              <w:adjustRightInd w:val="0"/>
              <w:snapToGrid w:val="0"/>
              <w:spacing w:line="240" w:lineRule="auto"/>
              <w:ind w:firstLine="0" w:firstLineChars="0"/>
              <w:jc w:val="center"/>
              <w:rPr>
                <w:rFonts w:hint="eastAsia" w:ascii="Times New Roman" w:hAnsi="Times New Roman" w:eastAsia="宋体" w:cs="宋体"/>
                <w:b/>
                <w:caps w:val="0"/>
                <w:color w:val="auto"/>
                <w:spacing w:val="0"/>
                <w:kern w:val="0"/>
                <w:sz w:val="21"/>
                <w:szCs w:val="21"/>
                <w:highlight w:val="none"/>
              </w:rPr>
            </w:pPr>
            <w:r>
              <w:rPr>
                <w:rFonts w:hint="eastAsia" w:ascii="Times New Roman" w:hAnsi="Times New Roman" w:eastAsia="宋体" w:cs="宋体"/>
                <w:b/>
                <w:caps w:val="0"/>
                <w:color w:val="auto"/>
                <w:spacing w:val="0"/>
                <w:kern w:val="0"/>
                <w:sz w:val="21"/>
                <w:szCs w:val="21"/>
                <w:highlight w:val="none"/>
              </w:rPr>
              <w:t>表</w:t>
            </w:r>
            <w:r>
              <w:rPr>
                <w:rFonts w:hint="default" w:ascii="Times New Roman" w:hAnsi="Times New Roman" w:eastAsia="宋体" w:cs="宋体"/>
                <w:b/>
                <w:caps w:val="0"/>
                <w:color w:val="auto"/>
                <w:spacing w:val="0"/>
                <w:kern w:val="0"/>
                <w:sz w:val="21"/>
                <w:szCs w:val="21"/>
                <w:highlight w:val="none"/>
              </w:rPr>
              <w:t>3-</w:t>
            </w:r>
            <w:r>
              <w:rPr>
                <w:rFonts w:hint="eastAsia" w:ascii="Times New Roman" w:hAnsi="Times New Roman" w:cs="宋体"/>
                <w:b/>
                <w:caps w:val="0"/>
                <w:color w:val="auto"/>
                <w:spacing w:val="0"/>
                <w:kern w:val="0"/>
                <w:sz w:val="21"/>
                <w:szCs w:val="21"/>
                <w:highlight w:val="none"/>
                <w:lang w:val="en-US" w:eastAsia="zh-CN"/>
              </w:rPr>
              <w:t>8</w:t>
            </w:r>
            <w:r>
              <w:rPr>
                <w:rFonts w:hint="eastAsia" w:ascii="Times New Roman" w:hAnsi="Times New Roman" w:eastAsia="宋体" w:cs="宋体"/>
                <w:b/>
                <w:caps w:val="0"/>
                <w:color w:val="auto"/>
                <w:spacing w:val="0"/>
                <w:kern w:val="0"/>
                <w:sz w:val="21"/>
                <w:szCs w:val="21"/>
                <w:highlight w:val="none"/>
              </w:rPr>
              <w:t>《建筑施工噪声排放标准》（GB 12523-2025）</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73"/>
              <w:gridCol w:w="3885"/>
            </w:tblGrid>
            <w:tr w14:paraId="73E5FA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528" w:type="pct"/>
                  <w:tcBorders>
                    <w:tl2br w:val="nil"/>
                    <w:tr2bl w:val="nil"/>
                  </w:tcBorders>
                  <w:noWrap w:val="0"/>
                  <w:vAlign w:val="center"/>
                </w:tcPr>
                <w:p w14:paraId="67E215DB">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18"/>
                      <w:highlight w:val="none"/>
                    </w:rPr>
                  </w:pPr>
                  <w:r>
                    <w:rPr>
                      <w:rFonts w:hint="eastAsia" w:ascii="Times New Roman" w:hAnsi="Times New Roman" w:eastAsia="宋体" w:cs="宋体"/>
                      <w:caps w:val="0"/>
                      <w:color w:val="auto"/>
                      <w:spacing w:val="0"/>
                      <w:sz w:val="21"/>
                      <w:szCs w:val="18"/>
                      <w:highlight w:val="none"/>
                    </w:rPr>
                    <w:t>昼间</w:t>
                  </w:r>
                </w:p>
              </w:tc>
              <w:tc>
                <w:tcPr>
                  <w:tcW w:w="2472" w:type="pct"/>
                  <w:tcBorders>
                    <w:tl2br w:val="nil"/>
                    <w:tr2bl w:val="nil"/>
                  </w:tcBorders>
                  <w:noWrap w:val="0"/>
                  <w:vAlign w:val="center"/>
                </w:tcPr>
                <w:p w14:paraId="157A6E81">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18"/>
                      <w:highlight w:val="none"/>
                    </w:rPr>
                  </w:pPr>
                  <w:r>
                    <w:rPr>
                      <w:rFonts w:hint="eastAsia" w:ascii="Times New Roman" w:hAnsi="Times New Roman" w:eastAsia="宋体" w:cs="宋体"/>
                      <w:caps w:val="0"/>
                      <w:color w:val="auto"/>
                      <w:spacing w:val="0"/>
                      <w:sz w:val="21"/>
                      <w:szCs w:val="18"/>
                      <w:highlight w:val="none"/>
                    </w:rPr>
                    <w:t>夜间</w:t>
                  </w:r>
                </w:p>
              </w:tc>
            </w:tr>
            <w:tr w14:paraId="1AE156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528" w:type="pct"/>
                  <w:tcBorders>
                    <w:tl2br w:val="nil"/>
                    <w:tr2bl w:val="nil"/>
                  </w:tcBorders>
                  <w:noWrap w:val="0"/>
                  <w:vAlign w:val="center"/>
                </w:tcPr>
                <w:p w14:paraId="70B1B235">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caps w:val="0"/>
                      <w:color w:val="auto"/>
                      <w:spacing w:val="0"/>
                      <w:sz w:val="21"/>
                      <w:szCs w:val="18"/>
                      <w:highlight w:val="none"/>
                    </w:rPr>
                  </w:pPr>
                  <w:r>
                    <w:rPr>
                      <w:rFonts w:hint="eastAsia" w:ascii="Times New Roman" w:hAnsi="Times New Roman" w:eastAsia="宋体" w:cs="宋体"/>
                      <w:caps w:val="0"/>
                      <w:color w:val="auto"/>
                      <w:spacing w:val="0"/>
                      <w:sz w:val="21"/>
                      <w:szCs w:val="18"/>
                      <w:highlight w:val="none"/>
                    </w:rPr>
                    <w:t>70</w:t>
                  </w:r>
                  <w:r>
                    <w:rPr>
                      <w:rFonts w:hint="eastAsia" w:ascii="Times New Roman" w:hAnsi="Times New Roman" w:eastAsia="宋体" w:cs="宋体"/>
                      <w:bCs/>
                      <w:caps w:val="0"/>
                      <w:color w:val="auto"/>
                      <w:spacing w:val="0"/>
                      <w:sz w:val="21"/>
                      <w:szCs w:val="18"/>
                      <w:highlight w:val="none"/>
                    </w:rPr>
                    <w:t>dB</w:t>
                  </w:r>
                  <w:r>
                    <w:rPr>
                      <w:rFonts w:hint="eastAsia" w:ascii="Times New Roman" w:hAnsi="Times New Roman" w:eastAsia="宋体" w:cs="宋体"/>
                      <w:bCs/>
                      <w:caps w:val="0"/>
                      <w:color w:val="auto"/>
                      <w:spacing w:val="0"/>
                      <w:sz w:val="21"/>
                      <w:szCs w:val="18"/>
                      <w:highlight w:val="none"/>
                      <w:lang w:eastAsia="zh-CN"/>
                    </w:rPr>
                    <w:t>(</w:t>
                  </w:r>
                  <w:r>
                    <w:rPr>
                      <w:rFonts w:hint="eastAsia" w:ascii="Times New Roman" w:hAnsi="Times New Roman" w:eastAsia="宋体" w:cs="宋体"/>
                      <w:bCs/>
                      <w:caps w:val="0"/>
                      <w:color w:val="auto"/>
                      <w:spacing w:val="0"/>
                      <w:sz w:val="21"/>
                      <w:szCs w:val="18"/>
                      <w:highlight w:val="none"/>
                    </w:rPr>
                    <w:t>A</w:t>
                  </w:r>
                  <w:r>
                    <w:rPr>
                      <w:rFonts w:hint="eastAsia" w:ascii="Times New Roman" w:hAnsi="Times New Roman" w:eastAsia="宋体" w:cs="宋体"/>
                      <w:bCs/>
                      <w:caps w:val="0"/>
                      <w:color w:val="auto"/>
                      <w:spacing w:val="0"/>
                      <w:sz w:val="21"/>
                      <w:szCs w:val="18"/>
                      <w:highlight w:val="none"/>
                      <w:lang w:eastAsia="zh-CN"/>
                    </w:rPr>
                    <w:t>)</w:t>
                  </w:r>
                </w:p>
              </w:tc>
              <w:tc>
                <w:tcPr>
                  <w:tcW w:w="2472" w:type="pct"/>
                  <w:tcBorders>
                    <w:tl2br w:val="nil"/>
                    <w:tr2bl w:val="nil"/>
                  </w:tcBorders>
                  <w:noWrap w:val="0"/>
                  <w:vAlign w:val="center"/>
                </w:tcPr>
                <w:p w14:paraId="1A110587">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18"/>
                      <w:highlight w:val="none"/>
                    </w:rPr>
                  </w:pPr>
                  <w:r>
                    <w:rPr>
                      <w:rFonts w:hint="eastAsia" w:ascii="Times New Roman" w:hAnsi="Times New Roman" w:eastAsia="宋体" w:cs="宋体"/>
                      <w:caps w:val="0"/>
                      <w:color w:val="auto"/>
                      <w:spacing w:val="0"/>
                      <w:sz w:val="21"/>
                      <w:szCs w:val="18"/>
                      <w:highlight w:val="none"/>
                    </w:rPr>
                    <w:t>55</w:t>
                  </w:r>
                  <w:r>
                    <w:rPr>
                      <w:rFonts w:hint="eastAsia" w:ascii="Times New Roman" w:hAnsi="Times New Roman" w:eastAsia="宋体" w:cs="宋体"/>
                      <w:bCs/>
                      <w:caps w:val="0"/>
                      <w:color w:val="auto"/>
                      <w:spacing w:val="0"/>
                      <w:sz w:val="21"/>
                      <w:szCs w:val="18"/>
                      <w:highlight w:val="none"/>
                    </w:rPr>
                    <w:t>dB</w:t>
                  </w:r>
                  <w:r>
                    <w:rPr>
                      <w:rFonts w:hint="eastAsia" w:ascii="Times New Roman" w:hAnsi="Times New Roman" w:eastAsia="宋体" w:cs="宋体"/>
                      <w:bCs/>
                      <w:caps w:val="0"/>
                      <w:color w:val="auto"/>
                      <w:spacing w:val="0"/>
                      <w:sz w:val="21"/>
                      <w:szCs w:val="18"/>
                      <w:highlight w:val="none"/>
                      <w:lang w:eastAsia="zh-CN"/>
                    </w:rPr>
                    <w:t>(</w:t>
                  </w:r>
                  <w:r>
                    <w:rPr>
                      <w:rFonts w:hint="eastAsia" w:ascii="Times New Roman" w:hAnsi="Times New Roman" w:eastAsia="宋体" w:cs="宋体"/>
                      <w:bCs/>
                      <w:caps w:val="0"/>
                      <w:color w:val="auto"/>
                      <w:spacing w:val="0"/>
                      <w:sz w:val="21"/>
                      <w:szCs w:val="18"/>
                      <w:highlight w:val="none"/>
                    </w:rPr>
                    <w:t>A</w:t>
                  </w:r>
                  <w:r>
                    <w:rPr>
                      <w:rFonts w:hint="eastAsia" w:ascii="Times New Roman" w:hAnsi="Times New Roman" w:eastAsia="宋体" w:cs="宋体"/>
                      <w:bCs/>
                      <w:caps w:val="0"/>
                      <w:color w:val="auto"/>
                      <w:spacing w:val="0"/>
                      <w:sz w:val="21"/>
                      <w:szCs w:val="18"/>
                      <w:highlight w:val="none"/>
                      <w:lang w:eastAsia="zh-CN"/>
                    </w:rPr>
                    <w:t>)</w:t>
                  </w:r>
                </w:p>
              </w:tc>
            </w:tr>
          </w:tbl>
          <w:p w14:paraId="21ED9214">
            <w:pPr>
              <w:pStyle w:val="114"/>
              <w:spacing w:line="360" w:lineRule="auto"/>
              <w:ind w:firstLine="480" w:firstLineChars="200"/>
              <w:rPr>
                <w:rFonts w:hint="eastAsia" w:ascii="Times New Roman" w:hAnsi="Times New Roman" w:eastAsia="宋体" w:cs="宋体"/>
                <w:b/>
                <w:caps w:val="0"/>
                <w:color w:val="auto"/>
                <w:spacing w:val="0"/>
                <w:kern w:val="2"/>
                <w:sz w:val="24"/>
                <w:szCs w:val="24"/>
                <w:highlight w:val="none"/>
              </w:rPr>
            </w:pPr>
            <w:r>
              <w:rPr>
                <w:rFonts w:hint="eastAsia" w:ascii="Times New Roman" w:hAnsi="Times New Roman" w:eastAsia="宋体" w:cs="宋体"/>
                <w:caps w:val="0"/>
                <w:color w:val="auto"/>
                <w:spacing w:val="0"/>
                <w:highlight w:val="none"/>
                <w:lang w:val="en-US" w:eastAsia="zh-CN"/>
              </w:rPr>
              <w:t>本项目</w:t>
            </w:r>
            <w:r>
              <w:rPr>
                <w:rFonts w:hint="eastAsia" w:ascii="Times New Roman" w:hAnsi="Times New Roman" w:eastAsia="宋体" w:cs="宋体"/>
                <w:caps w:val="0"/>
                <w:color w:val="auto"/>
                <w:spacing w:val="0"/>
                <w:sz w:val="24"/>
                <w:szCs w:val="24"/>
                <w:highlight w:val="none"/>
              </w:rPr>
              <w:t>厂</w:t>
            </w:r>
            <w:r>
              <w:rPr>
                <w:rFonts w:hint="eastAsia" w:ascii="Times New Roman" w:hAnsi="Times New Roman" w:eastAsia="宋体" w:cs="宋体"/>
                <w:caps w:val="0"/>
                <w:color w:val="auto"/>
                <w:spacing w:val="0"/>
                <w:sz w:val="24"/>
                <w:szCs w:val="24"/>
                <w:highlight w:val="none"/>
                <w:lang w:val="en-US" w:eastAsia="zh-CN"/>
              </w:rPr>
              <w:t>界四侧</w:t>
            </w:r>
            <w:r>
              <w:rPr>
                <w:rFonts w:hint="eastAsia" w:ascii="Times New Roman" w:hAnsi="Times New Roman" w:eastAsia="宋体" w:cs="宋体"/>
                <w:caps w:val="0"/>
                <w:color w:val="auto"/>
                <w:spacing w:val="0"/>
                <w:sz w:val="24"/>
                <w:szCs w:val="24"/>
                <w:highlight w:val="none"/>
              </w:rPr>
              <w:t>噪声执行《工业企业厂界环境噪声排放标准》（GB12348-2008）表1中</w:t>
            </w:r>
            <w:r>
              <w:rPr>
                <w:rFonts w:hint="eastAsia" w:ascii="Times New Roman" w:hAnsi="Times New Roman" w:eastAsia="宋体" w:cs="宋体"/>
                <w:caps w:val="0"/>
                <w:color w:val="auto"/>
                <w:spacing w:val="0"/>
                <w:sz w:val="24"/>
                <w:szCs w:val="24"/>
                <w:highlight w:val="none"/>
                <w:lang w:val="en-US" w:eastAsia="zh-CN"/>
              </w:rPr>
              <w:t>2</w:t>
            </w:r>
            <w:r>
              <w:rPr>
                <w:rFonts w:hint="eastAsia" w:ascii="Times New Roman" w:hAnsi="Times New Roman" w:eastAsia="宋体" w:cs="宋体"/>
                <w:caps w:val="0"/>
                <w:color w:val="auto"/>
                <w:spacing w:val="0"/>
                <w:sz w:val="24"/>
                <w:szCs w:val="24"/>
                <w:highlight w:val="none"/>
              </w:rPr>
              <w:t>类排放标准。</w:t>
            </w:r>
          </w:p>
          <w:p w14:paraId="440E9C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aps w:val="0"/>
                <w:color w:val="auto"/>
                <w:spacing w:val="0"/>
                <w:sz w:val="21"/>
                <w:szCs w:val="21"/>
                <w:highlight w:val="none"/>
              </w:rPr>
            </w:pPr>
            <w:r>
              <w:rPr>
                <w:rFonts w:hint="eastAsia" w:ascii="Times New Roman" w:hAnsi="Times New Roman" w:eastAsia="宋体" w:cs="宋体"/>
                <w:b/>
                <w:bCs w:val="0"/>
                <w:caps w:val="0"/>
                <w:color w:val="auto"/>
                <w:spacing w:val="0"/>
                <w:sz w:val="21"/>
                <w:szCs w:val="21"/>
                <w:highlight w:val="none"/>
              </w:rPr>
              <w:t>表</w:t>
            </w:r>
            <w:r>
              <w:rPr>
                <w:rFonts w:hint="default" w:ascii="Times New Roman" w:hAnsi="Times New Roman" w:eastAsia="宋体" w:cs="宋体"/>
                <w:b/>
                <w:bCs w:val="0"/>
                <w:caps w:val="0"/>
                <w:color w:val="auto"/>
                <w:spacing w:val="0"/>
                <w:sz w:val="21"/>
                <w:szCs w:val="21"/>
                <w:highlight w:val="none"/>
              </w:rPr>
              <w:t>3-</w:t>
            </w:r>
            <w:r>
              <w:rPr>
                <w:rFonts w:hint="eastAsia" w:ascii="Times New Roman" w:hAnsi="Times New Roman" w:cs="宋体"/>
                <w:b/>
                <w:bCs w:val="0"/>
                <w:caps w:val="0"/>
                <w:color w:val="auto"/>
                <w:spacing w:val="0"/>
                <w:sz w:val="21"/>
                <w:szCs w:val="21"/>
                <w:highlight w:val="none"/>
                <w:lang w:val="en-US" w:eastAsia="zh-CN"/>
              </w:rPr>
              <w:t>9</w:t>
            </w:r>
            <w:r>
              <w:rPr>
                <w:rFonts w:hint="eastAsia" w:ascii="Times New Roman" w:hAnsi="Times New Roman" w:eastAsia="宋体" w:cs="宋体"/>
                <w:b/>
                <w:bCs w:val="0"/>
                <w:caps w:val="0"/>
                <w:color w:val="auto"/>
                <w:spacing w:val="0"/>
                <w:sz w:val="21"/>
                <w:szCs w:val="21"/>
                <w:highlight w:val="none"/>
              </w:rPr>
              <w:t>工业企业厂界环境噪声排放标准（GB12348-2008）</w:t>
            </w:r>
          </w:p>
          <w:tbl>
            <w:tblPr>
              <w:tblStyle w:val="35"/>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0"/>
              <w:gridCol w:w="923"/>
              <w:gridCol w:w="1113"/>
              <w:gridCol w:w="1064"/>
              <w:gridCol w:w="1361"/>
              <w:gridCol w:w="2054"/>
            </w:tblGrid>
            <w:tr w14:paraId="759502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853" w:type="pct"/>
                  <w:tcBorders>
                    <w:tl2br w:val="nil"/>
                    <w:tr2bl w:val="nil"/>
                  </w:tcBorders>
                  <w:noWrap w:val="0"/>
                  <w:vAlign w:val="center"/>
                </w:tcPr>
                <w:p w14:paraId="6E043D60">
                  <w:pPr>
                    <w:spacing w:line="240" w:lineRule="auto"/>
                    <w:ind w:firstLine="0" w:firstLineChars="0"/>
                    <w:jc w:val="center"/>
                    <w:rPr>
                      <w:rFonts w:hint="eastAsia" w:ascii="Times New Roman" w:hAnsi="Times New Roman" w:eastAsia="宋体" w:cs="宋体"/>
                      <w:caps w:val="0"/>
                      <w:color w:val="auto"/>
                      <w:spacing w:val="0"/>
                      <w:sz w:val="21"/>
                      <w:szCs w:val="18"/>
                      <w:highlight w:val="none"/>
                    </w:rPr>
                  </w:pPr>
                  <w:r>
                    <w:rPr>
                      <w:rFonts w:hint="eastAsia" w:ascii="Times New Roman" w:hAnsi="Times New Roman" w:eastAsia="宋体" w:cs="宋体"/>
                      <w:caps w:val="0"/>
                      <w:color w:val="auto"/>
                      <w:spacing w:val="0"/>
                      <w:sz w:val="21"/>
                      <w:szCs w:val="18"/>
                      <w:highlight w:val="none"/>
                    </w:rPr>
                    <w:t>时段</w:t>
                  </w:r>
                </w:p>
              </w:tc>
              <w:tc>
                <w:tcPr>
                  <w:tcW w:w="587" w:type="pct"/>
                  <w:tcBorders>
                    <w:tl2br w:val="nil"/>
                    <w:tr2bl w:val="nil"/>
                  </w:tcBorders>
                  <w:noWrap w:val="0"/>
                  <w:vAlign w:val="center"/>
                </w:tcPr>
                <w:p w14:paraId="3561B547">
                  <w:pPr>
                    <w:spacing w:line="240" w:lineRule="auto"/>
                    <w:ind w:firstLine="0" w:firstLineChars="0"/>
                    <w:jc w:val="center"/>
                    <w:rPr>
                      <w:rFonts w:hint="eastAsia" w:ascii="Times New Roman" w:hAnsi="Times New Roman" w:eastAsia="宋体" w:cs="宋体"/>
                      <w:caps w:val="0"/>
                      <w:color w:val="auto"/>
                      <w:spacing w:val="0"/>
                      <w:sz w:val="21"/>
                      <w:szCs w:val="18"/>
                      <w:highlight w:val="none"/>
                    </w:rPr>
                  </w:pPr>
                  <w:r>
                    <w:rPr>
                      <w:rFonts w:hint="eastAsia" w:ascii="Times New Roman" w:hAnsi="Times New Roman" w:eastAsia="宋体" w:cs="宋体"/>
                      <w:caps w:val="0"/>
                      <w:color w:val="auto"/>
                      <w:spacing w:val="0"/>
                      <w:sz w:val="21"/>
                      <w:szCs w:val="18"/>
                      <w:highlight w:val="none"/>
                    </w:rPr>
                    <w:t>单位</w:t>
                  </w:r>
                </w:p>
              </w:tc>
              <w:tc>
                <w:tcPr>
                  <w:tcW w:w="708" w:type="pct"/>
                  <w:tcBorders>
                    <w:tl2br w:val="nil"/>
                    <w:tr2bl w:val="nil"/>
                  </w:tcBorders>
                  <w:noWrap w:val="0"/>
                  <w:vAlign w:val="center"/>
                </w:tcPr>
                <w:p w14:paraId="110EB65A">
                  <w:pPr>
                    <w:spacing w:line="240" w:lineRule="auto"/>
                    <w:ind w:firstLine="0" w:firstLineChars="0"/>
                    <w:jc w:val="center"/>
                    <w:rPr>
                      <w:rFonts w:hint="eastAsia" w:ascii="Times New Roman" w:hAnsi="Times New Roman" w:eastAsia="宋体" w:cs="宋体"/>
                      <w:caps w:val="0"/>
                      <w:color w:val="auto"/>
                      <w:spacing w:val="0"/>
                      <w:sz w:val="21"/>
                      <w:szCs w:val="18"/>
                      <w:highlight w:val="none"/>
                    </w:rPr>
                  </w:pPr>
                  <w:r>
                    <w:rPr>
                      <w:rFonts w:hint="eastAsia" w:ascii="Times New Roman" w:hAnsi="Times New Roman" w:eastAsia="宋体" w:cs="宋体"/>
                      <w:caps w:val="0"/>
                      <w:color w:val="auto"/>
                      <w:spacing w:val="0"/>
                      <w:sz w:val="21"/>
                      <w:szCs w:val="18"/>
                      <w:highlight w:val="none"/>
                    </w:rPr>
                    <w:t>昼间</w:t>
                  </w:r>
                </w:p>
              </w:tc>
              <w:tc>
                <w:tcPr>
                  <w:tcW w:w="677" w:type="pct"/>
                  <w:tcBorders>
                    <w:tl2br w:val="nil"/>
                    <w:tr2bl w:val="nil"/>
                  </w:tcBorders>
                  <w:noWrap w:val="0"/>
                  <w:vAlign w:val="center"/>
                </w:tcPr>
                <w:p w14:paraId="7098435B">
                  <w:pPr>
                    <w:spacing w:line="240" w:lineRule="auto"/>
                    <w:ind w:firstLine="0" w:firstLineChars="0"/>
                    <w:jc w:val="center"/>
                    <w:rPr>
                      <w:rFonts w:hint="eastAsia" w:ascii="Times New Roman" w:hAnsi="Times New Roman" w:eastAsia="宋体" w:cs="宋体"/>
                      <w:caps w:val="0"/>
                      <w:color w:val="auto"/>
                      <w:spacing w:val="0"/>
                      <w:sz w:val="21"/>
                      <w:szCs w:val="18"/>
                      <w:highlight w:val="none"/>
                    </w:rPr>
                  </w:pPr>
                  <w:r>
                    <w:rPr>
                      <w:rFonts w:hint="eastAsia" w:ascii="Times New Roman" w:hAnsi="Times New Roman" w:eastAsia="宋体" w:cs="宋体"/>
                      <w:caps w:val="0"/>
                      <w:color w:val="auto"/>
                      <w:spacing w:val="0"/>
                      <w:sz w:val="21"/>
                      <w:szCs w:val="18"/>
                      <w:highlight w:val="none"/>
                    </w:rPr>
                    <w:t>夜间</w:t>
                  </w:r>
                </w:p>
              </w:tc>
              <w:tc>
                <w:tcPr>
                  <w:tcW w:w="866" w:type="pct"/>
                  <w:tcBorders>
                    <w:tl2br w:val="nil"/>
                    <w:tr2bl w:val="nil"/>
                  </w:tcBorders>
                  <w:noWrap w:val="0"/>
                  <w:vAlign w:val="center"/>
                </w:tcPr>
                <w:p w14:paraId="5BFD7362">
                  <w:pPr>
                    <w:spacing w:line="240" w:lineRule="auto"/>
                    <w:ind w:firstLine="0" w:firstLineChars="0"/>
                    <w:jc w:val="center"/>
                    <w:rPr>
                      <w:rFonts w:hint="eastAsia" w:ascii="Times New Roman" w:hAnsi="Times New Roman" w:eastAsia="宋体" w:cs="宋体"/>
                      <w:caps w:val="0"/>
                      <w:color w:val="auto"/>
                      <w:spacing w:val="0"/>
                      <w:sz w:val="21"/>
                      <w:szCs w:val="18"/>
                      <w:highlight w:val="none"/>
                    </w:rPr>
                  </w:pPr>
                  <w:r>
                    <w:rPr>
                      <w:rFonts w:hint="eastAsia" w:ascii="Times New Roman" w:hAnsi="Times New Roman" w:eastAsia="宋体" w:cs="宋体"/>
                      <w:caps w:val="0"/>
                      <w:color w:val="auto"/>
                      <w:spacing w:val="0"/>
                      <w:sz w:val="21"/>
                      <w:szCs w:val="18"/>
                      <w:highlight w:val="none"/>
                    </w:rPr>
                    <w:t>类别</w:t>
                  </w:r>
                </w:p>
              </w:tc>
              <w:tc>
                <w:tcPr>
                  <w:tcW w:w="1307" w:type="pct"/>
                  <w:tcBorders>
                    <w:tl2br w:val="nil"/>
                    <w:tr2bl w:val="nil"/>
                  </w:tcBorders>
                  <w:noWrap w:val="0"/>
                  <w:vAlign w:val="center"/>
                </w:tcPr>
                <w:p w14:paraId="5D20DEDB">
                  <w:pPr>
                    <w:spacing w:line="240" w:lineRule="auto"/>
                    <w:ind w:firstLine="0" w:firstLineChars="0"/>
                    <w:jc w:val="center"/>
                    <w:rPr>
                      <w:rFonts w:hint="eastAsia"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备注</w:t>
                  </w:r>
                </w:p>
              </w:tc>
            </w:tr>
            <w:tr w14:paraId="2EE2D9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78" w:hRule="exact"/>
                <w:jc w:val="center"/>
              </w:trPr>
              <w:tc>
                <w:tcPr>
                  <w:tcW w:w="853" w:type="pct"/>
                  <w:tcBorders>
                    <w:tl2br w:val="nil"/>
                    <w:tr2bl w:val="nil"/>
                  </w:tcBorders>
                  <w:noWrap w:val="0"/>
                  <w:vAlign w:val="center"/>
                </w:tcPr>
                <w:p w14:paraId="071B4685">
                  <w:pPr>
                    <w:spacing w:line="240" w:lineRule="auto"/>
                    <w:ind w:firstLine="0" w:firstLineChars="0"/>
                    <w:jc w:val="center"/>
                    <w:rPr>
                      <w:rFonts w:hint="eastAsia" w:ascii="Times New Roman" w:hAnsi="Times New Roman" w:eastAsia="宋体" w:cs="宋体"/>
                      <w:bCs/>
                      <w:caps w:val="0"/>
                      <w:color w:val="auto"/>
                      <w:spacing w:val="0"/>
                      <w:kern w:val="2"/>
                      <w:sz w:val="21"/>
                      <w:szCs w:val="18"/>
                      <w:highlight w:val="none"/>
                      <w:lang w:val="en-US" w:eastAsia="zh-CN" w:bidi="ar-SA"/>
                    </w:rPr>
                  </w:pPr>
                  <w:r>
                    <w:rPr>
                      <w:rFonts w:hint="eastAsia" w:ascii="Times New Roman" w:hAnsi="Times New Roman" w:eastAsia="宋体" w:cs="宋体"/>
                      <w:caps w:val="0"/>
                      <w:color w:val="auto"/>
                      <w:spacing w:val="0"/>
                      <w:sz w:val="21"/>
                      <w:szCs w:val="18"/>
                      <w:highlight w:val="none"/>
                    </w:rPr>
                    <w:t>营运期</w:t>
                  </w:r>
                </w:p>
              </w:tc>
              <w:tc>
                <w:tcPr>
                  <w:tcW w:w="587" w:type="pct"/>
                  <w:tcBorders>
                    <w:tl2br w:val="nil"/>
                    <w:tr2bl w:val="nil"/>
                  </w:tcBorders>
                  <w:noWrap w:val="0"/>
                  <w:vAlign w:val="center"/>
                </w:tcPr>
                <w:p w14:paraId="11210243">
                  <w:pPr>
                    <w:spacing w:line="240" w:lineRule="auto"/>
                    <w:ind w:firstLine="0" w:firstLineChars="0"/>
                    <w:jc w:val="center"/>
                    <w:rPr>
                      <w:rFonts w:hint="eastAsia" w:ascii="Times New Roman" w:hAnsi="Times New Roman" w:eastAsia="宋体" w:cs="宋体"/>
                      <w:bCs/>
                      <w:caps w:val="0"/>
                      <w:color w:val="auto"/>
                      <w:spacing w:val="0"/>
                      <w:kern w:val="2"/>
                      <w:sz w:val="21"/>
                      <w:szCs w:val="18"/>
                      <w:highlight w:val="none"/>
                      <w:lang w:val="en-US" w:eastAsia="zh-CN" w:bidi="ar-SA"/>
                    </w:rPr>
                  </w:pPr>
                  <w:r>
                    <w:rPr>
                      <w:rFonts w:hint="eastAsia" w:ascii="Times New Roman" w:hAnsi="Times New Roman" w:eastAsia="宋体" w:cs="宋体"/>
                      <w:caps w:val="0"/>
                      <w:color w:val="auto"/>
                      <w:spacing w:val="0"/>
                      <w:sz w:val="21"/>
                      <w:szCs w:val="18"/>
                      <w:highlight w:val="none"/>
                    </w:rPr>
                    <w:t>dB(A)</w:t>
                  </w:r>
                </w:p>
              </w:tc>
              <w:tc>
                <w:tcPr>
                  <w:tcW w:w="708" w:type="pct"/>
                  <w:tcBorders>
                    <w:tl2br w:val="nil"/>
                    <w:tr2bl w:val="nil"/>
                  </w:tcBorders>
                  <w:noWrap w:val="0"/>
                  <w:vAlign w:val="center"/>
                </w:tcPr>
                <w:p w14:paraId="5621C1C2">
                  <w:pPr>
                    <w:spacing w:line="240" w:lineRule="auto"/>
                    <w:ind w:firstLine="0" w:firstLineChars="0"/>
                    <w:jc w:val="center"/>
                    <w:rPr>
                      <w:rFonts w:hint="default"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60</w:t>
                  </w:r>
                </w:p>
              </w:tc>
              <w:tc>
                <w:tcPr>
                  <w:tcW w:w="677" w:type="pct"/>
                  <w:tcBorders>
                    <w:tl2br w:val="nil"/>
                    <w:tr2bl w:val="nil"/>
                  </w:tcBorders>
                  <w:noWrap w:val="0"/>
                  <w:vAlign w:val="center"/>
                </w:tcPr>
                <w:p w14:paraId="6CC5A4D2">
                  <w:pPr>
                    <w:spacing w:line="240" w:lineRule="auto"/>
                    <w:ind w:firstLine="0" w:firstLineChars="0"/>
                    <w:jc w:val="center"/>
                    <w:rPr>
                      <w:rFonts w:hint="default"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50</w:t>
                  </w:r>
                </w:p>
              </w:tc>
              <w:tc>
                <w:tcPr>
                  <w:tcW w:w="866" w:type="pct"/>
                  <w:tcBorders>
                    <w:tl2br w:val="nil"/>
                    <w:tr2bl w:val="nil"/>
                  </w:tcBorders>
                  <w:noWrap w:val="0"/>
                  <w:vAlign w:val="center"/>
                </w:tcPr>
                <w:p w14:paraId="4F0402CE">
                  <w:pPr>
                    <w:spacing w:line="240" w:lineRule="auto"/>
                    <w:ind w:firstLine="0" w:firstLineChars="0"/>
                    <w:jc w:val="center"/>
                    <w:rPr>
                      <w:rFonts w:hint="eastAsia" w:ascii="Times New Roman" w:hAnsi="Times New Roman" w:eastAsia="宋体" w:cs="宋体"/>
                      <w:caps w:val="0"/>
                      <w:color w:val="auto"/>
                      <w:spacing w:val="0"/>
                      <w:sz w:val="21"/>
                      <w:szCs w:val="18"/>
                      <w:highlight w:val="none"/>
                      <w:lang w:val="en-US" w:eastAsia="zh-CN"/>
                    </w:rPr>
                  </w:pPr>
                  <w:r>
                    <w:rPr>
                      <w:rFonts w:hint="eastAsia" w:ascii="Times New Roman" w:hAnsi="Times New Roman" w:eastAsia="宋体" w:cs="宋体"/>
                      <w:caps w:val="0"/>
                      <w:color w:val="auto"/>
                      <w:spacing w:val="0"/>
                      <w:sz w:val="21"/>
                      <w:szCs w:val="18"/>
                      <w:highlight w:val="none"/>
                      <w:lang w:val="en-US" w:eastAsia="zh-CN"/>
                    </w:rPr>
                    <w:t>2类</w:t>
                  </w:r>
                </w:p>
              </w:tc>
              <w:tc>
                <w:tcPr>
                  <w:tcW w:w="1307" w:type="pct"/>
                  <w:tcBorders>
                    <w:tl2br w:val="nil"/>
                    <w:tr2bl w:val="nil"/>
                  </w:tcBorders>
                  <w:noWrap w:val="0"/>
                  <w:vAlign w:val="center"/>
                </w:tcPr>
                <w:p w14:paraId="155D1A70">
                  <w:pPr>
                    <w:spacing w:line="240" w:lineRule="auto"/>
                    <w:ind w:firstLine="0" w:firstLineChars="0"/>
                    <w:jc w:val="center"/>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厂界四侧</w:t>
                  </w:r>
                </w:p>
              </w:tc>
            </w:tr>
          </w:tbl>
          <w:p w14:paraId="753294DB">
            <w:pPr>
              <w:ind w:left="0" w:leftChars="0" w:firstLine="0" w:firstLineChars="0"/>
              <w:rPr>
                <w:rFonts w:hint="eastAsia" w:ascii="Times New Roman" w:hAnsi="Times New Roman" w:eastAsia="宋体" w:cs="宋体"/>
                <w:b/>
                <w:bCs w:val="0"/>
                <w:caps w:val="0"/>
                <w:color w:val="auto"/>
                <w:spacing w:val="0"/>
                <w:sz w:val="24"/>
                <w:szCs w:val="24"/>
                <w:highlight w:val="none"/>
                <w:lang w:val="en-US" w:eastAsia="zh-CN"/>
              </w:rPr>
            </w:pPr>
            <w:r>
              <w:rPr>
                <w:rFonts w:hint="eastAsia" w:ascii="Times New Roman" w:hAnsi="Times New Roman" w:eastAsia="宋体" w:cs="宋体"/>
                <w:b/>
                <w:bCs w:val="0"/>
                <w:caps w:val="0"/>
                <w:color w:val="auto"/>
                <w:spacing w:val="0"/>
                <w:sz w:val="24"/>
                <w:szCs w:val="24"/>
                <w:highlight w:val="none"/>
                <w:lang w:val="en-US" w:eastAsia="zh-CN"/>
              </w:rPr>
              <w:t>3.固体废物</w:t>
            </w:r>
          </w:p>
          <w:p w14:paraId="0D0A5B09">
            <w:pPr>
              <w:pStyle w:val="42"/>
              <w:spacing w:line="360" w:lineRule="auto"/>
              <w:ind w:firstLine="480" w:firstLineChars="200"/>
              <w:jc w:val="both"/>
              <w:rPr>
                <w:rFonts w:hint="eastAsia" w:ascii="Times New Roman" w:hAnsi="Times New Roman" w:eastAsia="宋体" w:cs="宋体"/>
                <w:caps w:val="0"/>
                <w:spacing w:val="0"/>
                <w:highlight w:val="none"/>
                <w:lang w:val="en-US"/>
              </w:rPr>
            </w:pPr>
            <w:r>
              <w:rPr>
                <w:rFonts w:hint="eastAsia" w:ascii="Times New Roman" w:hAnsi="Times New Roman" w:eastAsia="宋体" w:cs="宋体"/>
                <w:bCs/>
                <w:caps w:val="0"/>
                <w:color w:val="auto"/>
                <w:spacing w:val="0"/>
                <w:kern w:val="2"/>
                <w:sz w:val="24"/>
                <w:szCs w:val="24"/>
                <w:highlight w:val="none"/>
                <w:lang w:val="en-US" w:eastAsia="zh-CN" w:bidi="ar-SA"/>
              </w:rPr>
              <w:t>一般工业固体废物执行《一般工业固体废物贮存和填埋污染控制标准》（GB18599-2020）标准、</w:t>
            </w:r>
            <w:r>
              <w:rPr>
                <w:rFonts w:hint="eastAsia" w:ascii="Times New Roman" w:hAnsi="Times New Roman" w:eastAsia="宋体" w:cs="宋体"/>
                <w:caps w:val="0"/>
                <w:color w:val="auto"/>
                <w:spacing w:val="0"/>
                <w:szCs w:val="21"/>
                <w:highlight w:val="none"/>
              </w:rPr>
              <w:t>《一般固体废物分类与代码》（GB/T39198-2020）</w:t>
            </w:r>
            <w:r>
              <w:rPr>
                <w:rFonts w:hint="eastAsia" w:ascii="Times New Roman" w:hAnsi="Times New Roman" w:eastAsia="宋体" w:cs="宋体"/>
                <w:caps w:val="0"/>
                <w:color w:val="auto"/>
                <w:spacing w:val="0"/>
                <w:szCs w:val="21"/>
                <w:highlight w:val="none"/>
                <w:lang w:eastAsia="zh-CN"/>
              </w:rPr>
              <w:t>、关于发布《固体废物分类与代码目录》的公告（公告2024年第4号）。</w:t>
            </w:r>
            <w:r>
              <w:rPr>
                <w:rFonts w:hint="eastAsia" w:ascii="Times New Roman" w:hAnsi="Times New Roman" w:eastAsia="宋体" w:cs="宋体"/>
                <w:bCs/>
                <w:caps w:val="0"/>
                <w:color w:val="auto"/>
                <w:spacing w:val="0"/>
                <w:kern w:val="2"/>
                <w:sz w:val="24"/>
                <w:szCs w:val="24"/>
                <w:highlight w:val="none"/>
                <w:lang w:val="en-US" w:eastAsia="zh-CN" w:bidi="ar-SA"/>
              </w:rPr>
              <w:t>危险固体废物执行《危险废物贮存污染控制标准》（GB18597-2023）。</w:t>
            </w:r>
          </w:p>
        </w:tc>
      </w:tr>
      <w:tr w14:paraId="31EA71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1" w:hRule="atLeast"/>
          <w:jc w:val="center"/>
        </w:trPr>
        <w:tc>
          <w:tcPr>
            <w:tcW w:w="542" w:type="dxa"/>
            <w:noWrap w:val="0"/>
            <w:vAlign w:val="center"/>
          </w:tcPr>
          <w:p w14:paraId="386DF6A3">
            <w:pPr>
              <w:spacing w:line="240" w:lineRule="auto"/>
              <w:ind w:firstLine="0" w:firstLineChars="0"/>
              <w:jc w:val="center"/>
              <w:rPr>
                <w:rFonts w:hint="eastAsia" w:ascii="Times New Roman" w:hAnsi="Times New Roman" w:eastAsia="宋体" w:cs="宋体"/>
                <w:caps w:val="0"/>
                <w:color w:val="auto"/>
                <w:spacing w:val="0"/>
                <w:kern w:val="0"/>
                <w:highlight w:val="none"/>
              </w:rPr>
            </w:pPr>
            <w:r>
              <w:rPr>
                <w:rFonts w:hint="eastAsia" w:ascii="Times New Roman" w:hAnsi="Times New Roman" w:eastAsia="宋体" w:cs="宋体"/>
                <w:caps w:val="0"/>
                <w:color w:val="auto"/>
                <w:spacing w:val="0"/>
                <w:kern w:val="0"/>
                <w:highlight w:val="none"/>
              </w:rPr>
              <w:t>总量</w:t>
            </w:r>
          </w:p>
          <w:p w14:paraId="5B0299CF">
            <w:pPr>
              <w:spacing w:line="240" w:lineRule="auto"/>
              <w:ind w:firstLine="0" w:firstLineChars="0"/>
              <w:jc w:val="center"/>
              <w:rPr>
                <w:rFonts w:hint="eastAsia" w:ascii="Times New Roman" w:hAnsi="Times New Roman" w:eastAsia="宋体" w:cs="宋体"/>
                <w:caps w:val="0"/>
                <w:color w:val="auto"/>
                <w:spacing w:val="0"/>
                <w:kern w:val="0"/>
                <w:highlight w:val="none"/>
              </w:rPr>
            </w:pPr>
            <w:r>
              <w:rPr>
                <w:rFonts w:hint="eastAsia" w:ascii="Times New Roman" w:hAnsi="Times New Roman" w:eastAsia="宋体" w:cs="宋体"/>
                <w:caps w:val="0"/>
                <w:color w:val="auto"/>
                <w:spacing w:val="0"/>
                <w:kern w:val="0"/>
                <w:highlight w:val="none"/>
              </w:rPr>
              <w:t>控制</w:t>
            </w:r>
          </w:p>
          <w:p w14:paraId="5BDD61E9">
            <w:pPr>
              <w:spacing w:line="240" w:lineRule="auto"/>
              <w:ind w:firstLine="0" w:firstLineChars="0"/>
              <w:jc w:val="center"/>
              <w:rPr>
                <w:rFonts w:hint="eastAsia" w:ascii="Times New Roman" w:hAnsi="Times New Roman" w:eastAsia="宋体" w:cs="宋体"/>
                <w:caps w:val="0"/>
                <w:color w:val="auto"/>
                <w:spacing w:val="0"/>
                <w:kern w:val="0"/>
                <w:highlight w:val="none"/>
              </w:rPr>
            </w:pPr>
            <w:r>
              <w:rPr>
                <w:rFonts w:hint="eastAsia" w:ascii="Times New Roman" w:hAnsi="Times New Roman" w:eastAsia="宋体" w:cs="宋体"/>
                <w:caps w:val="0"/>
                <w:color w:val="auto"/>
                <w:spacing w:val="0"/>
                <w:kern w:val="0"/>
                <w:highlight w:val="none"/>
              </w:rPr>
              <w:t>指标</w:t>
            </w:r>
          </w:p>
        </w:tc>
        <w:tc>
          <w:tcPr>
            <w:tcW w:w="7987" w:type="dxa"/>
            <w:noWrap w:val="0"/>
            <w:vAlign w:val="center"/>
          </w:tcPr>
          <w:p w14:paraId="4D6DF569">
            <w:pPr>
              <w:pStyle w:val="90"/>
              <w:spacing w:before="0" w:beforeLines="0" w:after="0" w:afterLines="0" w:line="360" w:lineRule="auto"/>
              <w:ind w:firstLine="480"/>
              <w:rPr>
                <w:rFonts w:hint="eastAsia" w:ascii="Times New Roman" w:hAnsi="Times New Roman" w:eastAsia="宋体" w:cs="宋体"/>
                <w:caps w:val="0"/>
                <w:color w:val="auto"/>
                <w:spacing w:val="0"/>
                <w:highlight w:val="none"/>
              </w:rPr>
            </w:pPr>
            <w:r>
              <w:rPr>
                <w:rFonts w:hint="eastAsia" w:ascii="Times New Roman" w:hAnsi="Times New Roman" w:eastAsia="宋体" w:cs="宋体"/>
                <w:caps w:val="0"/>
                <w:color w:val="auto"/>
                <w:spacing w:val="0"/>
                <w:highlight w:val="none"/>
                <w:lang w:val="en-US" w:eastAsia="zh-CN"/>
              </w:rPr>
              <w:t>本项目污染物核定排放量见下表</w:t>
            </w:r>
            <w:r>
              <w:rPr>
                <w:rFonts w:hint="eastAsia" w:ascii="Times New Roman" w:hAnsi="Times New Roman" w:eastAsia="宋体" w:cs="宋体"/>
                <w:caps w:val="0"/>
                <w:color w:val="auto"/>
                <w:spacing w:val="0"/>
                <w:highlight w:val="none"/>
              </w:rPr>
              <w:t>：</w:t>
            </w:r>
          </w:p>
          <w:p w14:paraId="1D8C2744">
            <w:pPr>
              <w:pStyle w:val="91"/>
              <w:spacing w:line="240" w:lineRule="auto"/>
              <w:ind w:firstLine="0" w:firstLineChars="0"/>
              <w:jc w:val="center"/>
              <w:rPr>
                <w:rFonts w:hint="eastAsia" w:ascii="Times New Roman" w:hAnsi="Times New Roman" w:eastAsia="宋体" w:cs="宋体"/>
                <w:b/>
                <w:bCs w:val="0"/>
                <w:caps w:val="0"/>
                <w:color w:val="auto"/>
                <w:spacing w:val="0"/>
                <w:kern w:val="2"/>
                <w:sz w:val="21"/>
                <w:szCs w:val="21"/>
                <w:highlight w:val="none"/>
                <w:lang w:val="en-US" w:eastAsia="zh-CN" w:bidi="ar-SA"/>
              </w:rPr>
            </w:pPr>
            <w:r>
              <w:rPr>
                <w:rFonts w:hint="eastAsia" w:ascii="Times New Roman" w:hAnsi="Times New Roman" w:eastAsia="宋体" w:cs="宋体"/>
                <w:b/>
                <w:bCs w:val="0"/>
                <w:caps w:val="0"/>
                <w:color w:val="auto"/>
                <w:spacing w:val="0"/>
                <w:kern w:val="2"/>
                <w:sz w:val="21"/>
                <w:szCs w:val="21"/>
                <w:highlight w:val="none"/>
                <w:lang w:val="en-US" w:eastAsia="zh-CN" w:bidi="ar-SA"/>
              </w:rPr>
              <w:t>表</w:t>
            </w:r>
            <w:r>
              <w:rPr>
                <w:rFonts w:hint="default" w:ascii="Times New Roman" w:hAnsi="Times New Roman" w:eastAsia="宋体" w:cs="宋体"/>
                <w:b/>
                <w:bCs w:val="0"/>
                <w:caps w:val="0"/>
                <w:color w:val="auto"/>
                <w:spacing w:val="0"/>
                <w:kern w:val="2"/>
                <w:sz w:val="21"/>
                <w:szCs w:val="21"/>
                <w:highlight w:val="none"/>
                <w:lang w:val="en-US" w:eastAsia="zh-CN" w:bidi="ar-SA"/>
              </w:rPr>
              <w:t>3-</w:t>
            </w:r>
            <w:r>
              <w:rPr>
                <w:rFonts w:hint="eastAsia" w:ascii="Times New Roman" w:hAnsi="Times New Roman" w:cs="宋体"/>
                <w:b/>
                <w:bCs w:val="0"/>
                <w:caps w:val="0"/>
                <w:color w:val="auto"/>
                <w:spacing w:val="0"/>
                <w:kern w:val="2"/>
                <w:sz w:val="21"/>
                <w:szCs w:val="21"/>
                <w:highlight w:val="none"/>
                <w:lang w:val="en-US" w:eastAsia="zh-CN" w:bidi="ar-SA"/>
              </w:rPr>
              <w:t>10</w:t>
            </w:r>
            <w:r>
              <w:rPr>
                <w:rFonts w:hint="eastAsia" w:ascii="Times New Roman" w:hAnsi="Times New Roman" w:eastAsia="宋体" w:cs="宋体"/>
                <w:b/>
                <w:bCs w:val="0"/>
                <w:caps w:val="0"/>
                <w:color w:val="auto"/>
                <w:spacing w:val="0"/>
                <w:kern w:val="2"/>
                <w:sz w:val="21"/>
                <w:szCs w:val="21"/>
                <w:highlight w:val="none"/>
                <w:lang w:val="en-US" w:eastAsia="zh-CN" w:bidi="ar-SA"/>
              </w:rPr>
              <w:t>总量控制指标</w:t>
            </w:r>
          </w:p>
          <w:tbl>
            <w:tblPr>
              <w:tblStyle w:val="35"/>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8"/>
              <w:gridCol w:w="1306"/>
              <w:gridCol w:w="2801"/>
              <w:gridCol w:w="2801"/>
            </w:tblGrid>
            <w:tr w14:paraId="498E89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38" w:type="dxa"/>
                  <w:tcBorders>
                    <w:tl2br w:val="nil"/>
                    <w:tr2bl w:val="nil"/>
                  </w:tcBorders>
                  <w:noWrap w:val="0"/>
                  <w:vAlign w:val="center"/>
                </w:tcPr>
                <w:p w14:paraId="39F62CAF">
                  <w:pPr>
                    <w:spacing w:line="240" w:lineRule="auto"/>
                    <w:ind w:firstLine="0" w:firstLineChars="0"/>
                    <w:jc w:val="center"/>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rPr>
                    <w:t>项目</w:t>
                  </w:r>
                </w:p>
              </w:tc>
              <w:tc>
                <w:tcPr>
                  <w:tcW w:w="1292" w:type="dxa"/>
                  <w:tcBorders>
                    <w:tl2br w:val="nil"/>
                    <w:tr2bl w:val="nil"/>
                  </w:tcBorders>
                  <w:noWrap w:val="0"/>
                  <w:vAlign w:val="center"/>
                </w:tcPr>
                <w:p w14:paraId="7512C4B8">
                  <w:pPr>
                    <w:spacing w:line="240" w:lineRule="auto"/>
                    <w:ind w:firstLine="0" w:firstLineChars="0"/>
                    <w:jc w:val="center"/>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rPr>
                    <w:t>名称</w:t>
                  </w:r>
                </w:p>
              </w:tc>
              <w:tc>
                <w:tcPr>
                  <w:tcW w:w="2770" w:type="dxa"/>
                  <w:tcBorders>
                    <w:tl2br w:val="nil"/>
                    <w:tr2bl w:val="nil"/>
                  </w:tcBorders>
                  <w:noWrap w:val="0"/>
                  <w:vAlign w:val="center"/>
                </w:tcPr>
                <w:p w14:paraId="3D4EDC1B">
                  <w:pPr>
                    <w:spacing w:line="240" w:lineRule="auto"/>
                    <w:ind w:firstLine="0" w:firstLineChars="0"/>
                    <w:jc w:val="center"/>
                    <w:rPr>
                      <w:rFonts w:hint="eastAsia" w:ascii="Times New Roman" w:hAnsi="Times New Roman" w:eastAsia="宋体" w:cs="宋体"/>
                      <w:caps w:val="0"/>
                      <w:color w:val="auto"/>
                      <w:spacing w:val="0"/>
                      <w:sz w:val="21"/>
                      <w:szCs w:val="21"/>
                      <w:highlight w:val="none"/>
                      <w:lang w:eastAsia="zh-CN"/>
                    </w:rPr>
                  </w:pPr>
                  <w:r>
                    <w:rPr>
                      <w:rFonts w:hint="eastAsia" w:ascii="Times New Roman" w:hAnsi="Times New Roman" w:eastAsia="宋体" w:cs="宋体"/>
                      <w:caps w:val="0"/>
                      <w:color w:val="auto"/>
                      <w:spacing w:val="0"/>
                      <w:sz w:val="21"/>
                      <w:szCs w:val="21"/>
                      <w:highlight w:val="none"/>
                    </w:rPr>
                    <w:t>本工程预测排放量</w:t>
                  </w:r>
                  <w:r>
                    <w:rPr>
                      <w:rFonts w:hint="eastAsia" w:ascii="Times New Roman" w:hAnsi="Times New Roman" w:eastAsia="宋体" w:cs="宋体"/>
                      <w:caps w:val="0"/>
                      <w:color w:val="auto"/>
                      <w:spacing w:val="0"/>
                      <w:sz w:val="21"/>
                      <w:szCs w:val="21"/>
                      <w:highlight w:val="none"/>
                      <w:lang w:eastAsia="zh-CN"/>
                    </w:rPr>
                    <w:t>（</w:t>
                  </w:r>
                  <w:r>
                    <w:rPr>
                      <w:rFonts w:hint="eastAsia" w:ascii="Times New Roman" w:hAnsi="Times New Roman" w:eastAsia="宋体" w:cs="宋体"/>
                      <w:caps w:val="0"/>
                      <w:color w:val="auto"/>
                      <w:spacing w:val="0"/>
                      <w:sz w:val="21"/>
                      <w:szCs w:val="21"/>
                      <w:highlight w:val="none"/>
                    </w:rPr>
                    <w:t>t/a</w:t>
                  </w:r>
                  <w:r>
                    <w:rPr>
                      <w:rFonts w:hint="eastAsia" w:ascii="Times New Roman" w:hAnsi="Times New Roman" w:eastAsia="宋体" w:cs="宋体"/>
                      <w:caps w:val="0"/>
                      <w:color w:val="auto"/>
                      <w:spacing w:val="0"/>
                      <w:sz w:val="21"/>
                      <w:szCs w:val="21"/>
                      <w:highlight w:val="none"/>
                      <w:lang w:eastAsia="zh-CN"/>
                    </w:rPr>
                    <w:t>）</w:t>
                  </w:r>
                </w:p>
              </w:tc>
              <w:tc>
                <w:tcPr>
                  <w:tcW w:w="2770" w:type="dxa"/>
                  <w:tcBorders>
                    <w:tl2br w:val="nil"/>
                    <w:tr2bl w:val="nil"/>
                  </w:tcBorders>
                  <w:noWrap w:val="0"/>
                  <w:vAlign w:val="center"/>
                </w:tcPr>
                <w:p w14:paraId="74F64B3F">
                  <w:pPr>
                    <w:spacing w:line="240" w:lineRule="auto"/>
                    <w:ind w:firstLine="0" w:firstLineChars="0"/>
                    <w:jc w:val="center"/>
                    <w:rPr>
                      <w:rFonts w:hint="eastAsia" w:ascii="Times New Roman" w:hAnsi="Times New Roman" w:eastAsia="宋体" w:cs="宋体"/>
                      <w:caps w:val="0"/>
                      <w:color w:val="auto"/>
                      <w:spacing w:val="0"/>
                      <w:sz w:val="21"/>
                      <w:szCs w:val="21"/>
                      <w:highlight w:val="none"/>
                      <w:lang w:eastAsia="zh-CN"/>
                    </w:rPr>
                  </w:pPr>
                  <w:r>
                    <w:rPr>
                      <w:rFonts w:hint="eastAsia" w:ascii="Times New Roman" w:hAnsi="Times New Roman" w:eastAsia="宋体" w:cs="宋体"/>
                      <w:caps w:val="0"/>
                      <w:color w:val="auto"/>
                      <w:spacing w:val="0"/>
                      <w:sz w:val="21"/>
                      <w:szCs w:val="21"/>
                      <w:highlight w:val="none"/>
                    </w:rPr>
                    <w:t>核定排放量</w:t>
                  </w:r>
                  <w:r>
                    <w:rPr>
                      <w:rFonts w:hint="eastAsia" w:ascii="Times New Roman" w:hAnsi="Times New Roman" w:eastAsia="宋体" w:cs="宋体"/>
                      <w:caps w:val="0"/>
                      <w:color w:val="auto"/>
                      <w:spacing w:val="0"/>
                      <w:sz w:val="21"/>
                      <w:szCs w:val="21"/>
                      <w:highlight w:val="none"/>
                      <w:lang w:eastAsia="zh-CN"/>
                    </w:rPr>
                    <w:t>（</w:t>
                  </w:r>
                  <w:r>
                    <w:rPr>
                      <w:rFonts w:hint="eastAsia" w:ascii="Times New Roman" w:hAnsi="Times New Roman" w:eastAsia="宋体" w:cs="宋体"/>
                      <w:caps w:val="0"/>
                      <w:color w:val="auto"/>
                      <w:spacing w:val="0"/>
                      <w:sz w:val="21"/>
                      <w:szCs w:val="21"/>
                      <w:highlight w:val="none"/>
                    </w:rPr>
                    <w:t>t/a</w:t>
                  </w:r>
                  <w:r>
                    <w:rPr>
                      <w:rFonts w:hint="eastAsia" w:ascii="Times New Roman" w:hAnsi="Times New Roman" w:eastAsia="宋体" w:cs="宋体"/>
                      <w:caps w:val="0"/>
                      <w:color w:val="auto"/>
                      <w:spacing w:val="0"/>
                      <w:sz w:val="21"/>
                      <w:szCs w:val="21"/>
                      <w:highlight w:val="none"/>
                      <w:lang w:eastAsia="zh-CN"/>
                    </w:rPr>
                    <w:t>）</w:t>
                  </w:r>
                </w:p>
              </w:tc>
            </w:tr>
            <w:tr w14:paraId="4E99A2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exact"/>
                <w:jc w:val="center"/>
              </w:trPr>
              <w:tc>
                <w:tcPr>
                  <w:tcW w:w="938" w:type="dxa"/>
                  <w:vMerge w:val="restart"/>
                  <w:tcBorders>
                    <w:tl2br w:val="nil"/>
                    <w:tr2bl w:val="nil"/>
                  </w:tcBorders>
                  <w:noWrap w:val="0"/>
                  <w:vAlign w:val="center"/>
                </w:tcPr>
                <w:p w14:paraId="263858AA">
                  <w:pPr>
                    <w:spacing w:line="240" w:lineRule="auto"/>
                    <w:ind w:firstLine="0" w:firstLineChars="0"/>
                    <w:jc w:val="center"/>
                    <w:rPr>
                      <w:rFonts w:hint="eastAsia" w:ascii="Times New Roman" w:hAnsi="Times New Roman" w:eastAsia="宋体" w:cs="宋体"/>
                      <w:caps w:val="0"/>
                      <w:color w:val="auto"/>
                      <w:spacing w:val="0"/>
                      <w:sz w:val="21"/>
                      <w:szCs w:val="21"/>
                      <w:highlight w:val="none"/>
                      <w:lang w:eastAsia="zh-CN"/>
                    </w:rPr>
                  </w:pPr>
                  <w:r>
                    <w:rPr>
                      <w:rFonts w:hint="eastAsia" w:ascii="Times New Roman" w:hAnsi="Times New Roman" w:eastAsia="宋体" w:cs="宋体"/>
                      <w:caps w:val="0"/>
                      <w:color w:val="auto"/>
                      <w:spacing w:val="0"/>
                      <w:sz w:val="21"/>
                      <w:szCs w:val="21"/>
                      <w:highlight w:val="none"/>
                      <w:lang w:val="en-US" w:eastAsia="zh-CN"/>
                    </w:rPr>
                    <w:t>废气</w:t>
                  </w:r>
                </w:p>
              </w:tc>
              <w:tc>
                <w:tcPr>
                  <w:tcW w:w="1292" w:type="dxa"/>
                  <w:tcBorders>
                    <w:tl2br w:val="nil"/>
                    <w:tr2bl w:val="nil"/>
                  </w:tcBorders>
                  <w:shd w:val="clear" w:color="auto" w:fill="auto"/>
                  <w:noWrap w:val="0"/>
                  <w:vAlign w:val="center"/>
                </w:tcPr>
                <w:p w14:paraId="1F8DF6ED">
                  <w:pPr>
                    <w:spacing w:line="240" w:lineRule="auto"/>
                    <w:ind w:firstLine="0" w:firstLineChars="0"/>
                    <w:jc w:val="center"/>
                    <w:rPr>
                      <w:rFonts w:hint="eastAsia" w:ascii="Times New Roman" w:hAnsi="Times New Roman" w:eastAsia="宋体" w:cs="宋体"/>
                      <w:bCs/>
                      <w:caps w:val="0"/>
                      <w:color w:val="auto"/>
                      <w:spacing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颗粒物</w:t>
                  </w:r>
                </w:p>
              </w:tc>
              <w:tc>
                <w:tcPr>
                  <w:tcW w:w="2770" w:type="dxa"/>
                  <w:tcBorders>
                    <w:tl2br w:val="nil"/>
                    <w:tr2bl w:val="nil"/>
                  </w:tcBorders>
                  <w:noWrap w:val="0"/>
                  <w:vAlign w:val="center"/>
                </w:tcPr>
                <w:p w14:paraId="06BF68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kern w:val="2"/>
                      <w:sz w:val="21"/>
                      <w:szCs w:val="21"/>
                      <w:highlight w:val="none"/>
                      <w:lang w:val="en-US" w:eastAsia="zh-CN" w:bidi="ar-SA"/>
                    </w:rPr>
                  </w:pPr>
                  <w:r>
                    <w:rPr>
                      <w:rFonts w:hint="default" w:ascii="Times New Roman" w:hAnsi="Times New Roman" w:eastAsia="宋体" w:cs="宋体"/>
                      <w:bCs/>
                      <w:caps w:val="0"/>
                      <w:color w:val="auto"/>
                      <w:spacing w:val="0"/>
                      <w:kern w:val="2"/>
                      <w:sz w:val="21"/>
                      <w:szCs w:val="21"/>
                      <w:highlight w:val="none"/>
                      <w:lang w:val="en-US" w:eastAsia="zh-CN" w:bidi="ar-SA"/>
                    </w:rPr>
                    <w:t>0</w:t>
                  </w:r>
                  <w:r>
                    <w:rPr>
                      <w:rFonts w:hint="eastAsia" w:ascii="Times New Roman" w:hAnsi="Times New Roman" w:eastAsia="宋体" w:cs="宋体"/>
                      <w:bCs/>
                      <w:caps w:val="0"/>
                      <w:color w:val="auto"/>
                      <w:spacing w:val="0"/>
                      <w:kern w:val="2"/>
                      <w:sz w:val="21"/>
                      <w:szCs w:val="21"/>
                      <w:highlight w:val="none"/>
                      <w:lang w:val="en-US" w:eastAsia="zh-CN" w:bidi="ar-SA"/>
                    </w:rPr>
                    <w:t>.</w:t>
                  </w:r>
                  <w:r>
                    <w:rPr>
                      <w:rFonts w:hint="default" w:ascii="Times New Roman" w:hAnsi="Times New Roman" w:eastAsia="宋体" w:cs="宋体"/>
                      <w:bCs/>
                      <w:caps w:val="0"/>
                      <w:color w:val="auto"/>
                      <w:spacing w:val="0"/>
                      <w:kern w:val="2"/>
                      <w:sz w:val="21"/>
                      <w:szCs w:val="21"/>
                      <w:highlight w:val="none"/>
                      <w:lang w:val="en-US" w:eastAsia="zh-CN" w:bidi="ar-SA"/>
                    </w:rPr>
                    <w:t>000433</w:t>
                  </w:r>
                </w:p>
              </w:tc>
              <w:tc>
                <w:tcPr>
                  <w:tcW w:w="2770" w:type="dxa"/>
                  <w:tcBorders>
                    <w:tl2br w:val="nil"/>
                    <w:tr2bl w:val="nil"/>
                  </w:tcBorders>
                  <w:noWrap w:val="0"/>
                  <w:vAlign w:val="center"/>
                </w:tcPr>
                <w:p w14:paraId="3AF78D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0.1587</w:t>
                  </w:r>
                </w:p>
              </w:tc>
            </w:tr>
            <w:tr w14:paraId="312392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38" w:type="dxa"/>
                  <w:vMerge w:val="continue"/>
                  <w:tcBorders>
                    <w:tl2br w:val="nil"/>
                    <w:tr2bl w:val="nil"/>
                  </w:tcBorders>
                  <w:noWrap w:val="0"/>
                  <w:vAlign w:val="center"/>
                </w:tcPr>
                <w:p w14:paraId="07188887">
                  <w:pPr>
                    <w:spacing w:line="240" w:lineRule="auto"/>
                    <w:ind w:firstLine="0" w:firstLineChars="0"/>
                    <w:jc w:val="center"/>
                    <w:rPr>
                      <w:rFonts w:hint="eastAsia" w:ascii="Times New Roman" w:hAnsi="Times New Roman" w:eastAsia="宋体" w:cs="宋体"/>
                      <w:caps w:val="0"/>
                      <w:color w:val="auto"/>
                      <w:spacing w:val="0"/>
                      <w:sz w:val="21"/>
                      <w:szCs w:val="21"/>
                      <w:highlight w:val="none"/>
                      <w:lang w:val="en-US" w:eastAsia="zh-CN"/>
                    </w:rPr>
                  </w:pPr>
                </w:p>
              </w:tc>
              <w:tc>
                <w:tcPr>
                  <w:tcW w:w="1292" w:type="dxa"/>
                  <w:tcBorders>
                    <w:tl2br w:val="nil"/>
                    <w:tr2bl w:val="nil"/>
                  </w:tcBorders>
                  <w:shd w:val="clear" w:color="auto" w:fill="auto"/>
                  <w:noWrap w:val="0"/>
                  <w:vAlign w:val="center"/>
                </w:tcPr>
                <w:p w14:paraId="5547F015">
                  <w:pPr>
                    <w:spacing w:line="240" w:lineRule="auto"/>
                    <w:ind w:firstLine="0" w:firstLineChars="0"/>
                    <w:jc w:val="center"/>
                    <w:rPr>
                      <w:rFonts w:hint="eastAsia" w:ascii="Times New Roman" w:hAnsi="Times New Roman" w:eastAsia="宋体" w:cs="宋体"/>
                      <w:bCs/>
                      <w:caps w:val="0"/>
                      <w:color w:val="auto"/>
                      <w:spacing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二氧化硫</w:t>
                  </w:r>
                </w:p>
              </w:tc>
              <w:tc>
                <w:tcPr>
                  <w:tcW w:w="2770" w:type="dxa"/>
                  <w:tcBorders>
                    <w:tl2br w:val="nil"/>
                    <w:tr2bl w:val="nil"/>
                  </w:tcBorders>
                  <w:noWrap w:val="0"/>
                  <w:vAlign w:val="center"/>
                </w:tcPr>
                <w:p w14:paraId="67AFB8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kern w:val="2"/>
                      <w:sz w:val="21"/>
                      <w:szCs w:val="21"/>
                      <w:highlight w:val="none"/>
                      <w:lang w:val="en-US" w:eastAsia="zh-CN" w:bidi="ar-SA"/>
                    </w:rPr>
                  </w:pPr>
                  <w:r>
                    <w:rPr>
                      <w:rFonts w:hint="eastAsia" w:ascii="Times New Roman" w:hAnsi="Times New Roman" w:eastAsia="宋体" w:cs="宋体"/>
                      <w:bCs/>
                      <w:caps w:val="0"/>
                      <w:color w:val="auto"/>
                      <w:spacing w:val="0"/>
                      <w:kern w:val="2"/>
                      <w:sz w:val="21"/>
                      <w:szCs w:val="21"/>
                      <w:highlight w:val="none"/>
                      <w:lang w:val="en-US" w:eastAsia="zh-CN" w:bidi="ar-SA"/>
                    </w:rPr>
                    <w:t>0.00791</w:t>
                  </w:r>
                </w:p>
              </w:tc>
              <w:tc>
                <w:tcPr>
                  <w:tcW w:w="2770" w:type="dxa"/>
                  <w:tcBorders>
                    <w:tl2br w:val="nil"/>
                    <w:tr2bl w:val="nil"/>
                  </w:tcBorders>
                  <w:noWrap w:val="0"/>
                  <w:vAlign w:val="center"/>
                </w:tcPr>
                <w:p w14:paraId="12C208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1.0583</w:t>
                  </w:r>
                </w:p>
              </w:tc>
            </w:tr>
            <w:tr w14:paraId="3630EB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38" w:type="dxa"/>
                  <w:vMerge w:val="continue"/>
                  <w:tcBorders>
                    <w:tl2br w:val="nil"/>
                    <w:tr2bl w:val="nil"/>
                  </w:tcBorders>
                  <w:noWrap w:val="0"/>
                  <w:vAlign w:val="center"/>
                </w:tcPr>
                <w:p w14:paraId="506AFA47">
                  <w:pPr>
                    <w:spacing w:line="240" w:lineRule="auto"/>
                    <w:ind w:firstLine="0" w:firstLineChars="0"/>
                    <w:jc w:val="center"/>
                    <w:rPr>
                      <w:rFonts w:hint="eastAsia" w:ascii="Times New Roman" w:hAnsi="Times New Roman" w:eastAsia="宋体" w:cs="宋体"/>
                      <w:caps w:val="0"/>
                      <w:color w:val="auto"/>
                      <w:spacing w:val="0"/>
                      <w:sz w:val="21"/>
                      <w:szCs w:val="21"/>
                      <w:highlight w:val="none"/>
                      <w:lang w:val="en-US" w:eastAsia="zh-CN"/>
                    </w:rPr>
                  </w:pPr>
                </w:p>
              </w:tc>
              <w:tc>
                <w:tcPr>
                  <w:tcW w:w="1292" w:type="dxa"/>
                  <w:tcBorders>
                    <w:tl2br w:val="nil"/>
                    <w:tr2bl w:val="nil"/>
                  </w:tcBorders>
                  <w:shd w:val="clear" w:color="auto" w:fill="auto"/>
                  <w:noWrap w:val="0"/>
                  <w:vAlign w:val="center"/>
                </w:tcPr>
                <w:p w14:paraId="29ABB7B8">
                  <w:pPr>
                    <w:pStyle w:val="70"/>
                    <w:rPr>
                      <w:rFonts w:hint="eastAsia" w:ascii="Times New Roman" w:hAnsi="Times New Roman" w:eastAsia="宋体" w:cs="宋体"/>
                      <w:bCs/>
                      <w:caps w:val="0"/>
                      <w:color w:val="auto"/>
                      <w:spacing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氮氧化物</w:t>
                  </w:r>
                </w:p>
              </w:tc>
              <w:tc>
                <w:tcPr>
                  <w:tcW w:w="2770" w:type="dxa"/>
                  <w:tcBorders>
                    <w:tl2br w:val="nil"/>
                    <w:tr2bl w:val="nil"/>
                  </w:tcBorders>
                  <w:noWrap w:val="0"/>
                  <w:vAlign w:val="center"/>
                </w:tcPr>
                <w:p w14:paraId="29FA7E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kern w:val="2"/>
                      <w:sz w:val="21"/>
                      <w:szCs w:val="21"/>
                      <w:highlight w:val="none"/>
                      <w:lang w:val="en-US" w:eastAsia="zh-CN" w:bidi="ar-SA"/>
                    </w:rPr>
                  </w:pPr>
                  <w:r>
                    <w:rPr>
                      <w:rFonts w:hint="eastAsia" w:ascii="Times New Roman" w:hAnsi="Times New Roman" w:eastAsia="宋体" w:cs="宋体"/>
                      <w:bCs/>
                      <w:caps w:val="0"/>
                      <w:color w:val="auto"/>
                      <w:spacing w:val="0"/>
                      <w:kern w:val="2"/>
                      <w:sz w:val="21"/>
                      <w:szCs w:val="21"/>
                      <w:highlight w:val="none"/>
                      <w:lang w:val="en-US" w:eastAsia="zh-CN" w:bidi="ar-SA"/>
                    </w:rPr>
                    <w:t>1.058</w:t>
                  </w:r>
                </w:p>
              </w:tc>
              <w:tc>
                <w:tcPr>
                  <w:tcW w:w="2770" w:type="dxa"/>
                  <w:tcBorders>
                    <w:tl2br w:val="nil"/>
                    <w:tr2bl w:val="nil"/>
                  </w:tcBorders>
                  <w:noWrap w:val="0"/>
                  <w:vAlign w:val="center"/>
                </w:tcPr>
                <w:p w14:paraId="6C0513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1.3229</w:t>
                  </w:r>
                </w:p>
              </w:tc>
            </w:tr>
          </w:tbl>
          <w:p w14:paraId="6BFB513C">
            <w:pPr>
              <w:rPr>
                <w:rFonts w:hint="default" w:ascii="Times New Roman" w:hAnsi="Times New Roman" w:eastAsia="宋体" w:cs="宋体"/>
                <w:bCs/>
                <w:caps w:val="0"/>
                <w:color w:val="auto"/>
                <w:spacing w:val="0"/>
                <w:kern w:val="2"/>
                <w:sz w:val="24"/>
                <w:szCs w:val="24"/>
                <w:highlight w:val="none"/>
                <w:vertAlign w:val="baseline"/>
                <w:lang w:val="en-US" w:eastAsia="zh-CN" w:bidi="ar-SA"/>
              </w:rPr>
            </w:pPr>
            <w:r>
              <w:rPr>
                <w:rFonts w:hint="eastAsia" w:ascii="Times New Roman" w:hAnsi="Times New Roman" w:eastAsia="宋体" w:cs="宋体"/>
                <w:caps w:val="0"/>
                <w:color w:val="auto"/>
                <w:highlight w:val="none"/>
                <w:lang w:val="en-US" w:eastAsia="zh-CN"/>
              </w:rPr>
              <w:t>本项目为改建工程，替换原有工程生物质</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highlight w:val="none"/>
                <w:lang w:val="en-US" w:eastAsia="zh-CN"/>
              </w:rPr>
              <w:t>，现有工程未进行总量核算。建成后全厂核定排放量以本项目核算量为全厂核定排放量。</w:t>
            </w:r>
          </w:p>
          <w:p w14:paraId="2B961E33">
            <w:pPr>
              <w:rPr>
                <w:rFonts w:hint="eastAsia" w:ascii="Times New Roman" w:hAnsi="Times New Roman" w:eastAsia="宋体" w:cs="宋体"/>
                <w:bCs/>
                <w:caps w:val="0"/>
                <w:color w:val="auto"/>
                <w:spacing w:val="0"/>
                <w:kern w:val="2"/>
                <w:sz w:val="24"/>
                <w:szCs w:val="24"/>
                <w:highlight w:val="none"/>
                <w:vertAlign w:val="baseline"/>
                <w:lang w:val="en-US" w:eastAsia="zh-CN" w:bidi="ar-SA"/>
              </w:rPr>
            </w:pPr>
            <w:r>
              <w:rPr>
                <w:rFonts w:hint="eastAsia" w:ascii="Times New Roman" w:hAnsi="Times New Roman" w:eastAsia="宋体" w:cs="宋体"/>
                <w:bCs/>
                <w:caps w:val="0"/>
                <w:color w:val="auto"/>
                <w:spacing w:val="0"/>
                <w:kern w:val="2"/>
                <w:sz w:val="24"/>
                <w:szCs w:val="24"/>
                <w:highlight w:val="none"/>
                <w:vertAlign w:val="baseline"/>
                <w:lang w:val="en-US" w:eastAsia="zh-CN" w:bidi="ar-SA"/>
              </w:rPr>
              <w:t>建成后全厂核定排放总量：</w:t>
            </w:r>
          </w:p>
          <w:p w14:paraId="2463665F">
            <w:pPr>
              <w:pStyle w:val="42"/>
              <w:rPr>
                <w:rFonts w:hint="default" w:ascii="Times New Roman" w:hAnsi="Times New Roman" w:eastAsia="宋体" w:cs="宋体"/>
                <w:b/>
                <w:bCs/>
                <w:caps w:val="0"/>
                <w:color w:val="auto"/>
                <w:sz w:val="21"/>
                <w:szCs w:val="21"/>
                <w:highlight w:val="none"/>
                <w:lang w:val="en-US" w:eastAsia="zh-CN"/>
              </w:rPr>
            </w:pPr>
            <w:r>
              <w:rPr>
                <w:rFonts w:hint="eastAsia" w:ascii="Times New Roman" w:hAnsi="Times New Roman" w:eastAsia="宋体" w:cs="宋体"/>
                <w:b/>
                <w:bCs/>
                <w:caps w:val="0"/>
                <w:color w:val="auto"/>
                <w:sz w:val="21"/>
                <w:szCs w:val="21"/>
                <w:highlight w:val="none"/>
                <w:lang w:val="en-US" w:eastAsia="zh-CN"/>
              </w:rPr>
              <w:t>表</w:t>
            </w:r>
            <w:r>
              <w:rPr>
                <w:rFonts w:hint="default" w:ascii="Times New Roman" w:hAnsi="Times New Roman" w:eastAsia="宋体" w:cs="宋体"/>
                <w:b/>
                <w:bCs/>
                <w:caps w:val="0"/>
                <w:color w:val="auto"/>
                <w:sz w:val="21"/>
                <w:szCs w:val="21"/>
                <w:highlight w:val="none"/>
                <w:lang w:val="en-US" w:eastAsia="zh-CN"/>
              </w:rPr>
              <w:t>3-</w:t>
            </w:r>
            <w:r>
              <w:rPr>
                <w:rFonts w:hint="eastAsia" w:ascii="Times New Roman" w:hAnsi="Times New Roman" w:cs="宋体"/>
                <w:b/>
                <w:bCs/>
                <w:caps w:val="0"/>
                <w:color w:val="auto"/>
                <w:sz w:val="21"/>
                <w:szCs w:val="21"/>
                <w:highlight w:val="none"/>
                <w:lang w:val="en-US" w:eastAsia="zh-CN"/>
              </w:rPr>
              <w:t>11</w:t>
            </w:r>
            <w:r>
              <w:rPr>
                <w:rFonts w:hint="eastAsia" w:ascii="Times New Roman" w:hAnsi="Times New Roman" w:eastAsia="宋体" w:cs="宋体"/>
                <w:b/>
                <w:bCs/>
                <w:caps w:val="0"/>
                <w:color w:val="auto"/>
                <w:sz w:val="21"/>
                <w:szCs w:val="21"/>
                <w:highlight w:val="none"/>
                <w:lang w:val="en-US" w:eastAsia="zh-CN"/>
              </w:rPr>
              <w:t xml:space="preserve"> 建成后全厂核定排放总量   单位</w:t>
            </w:r>
            <w:r>
              <w:rPr>
                <w:rFonts w:hint="default" w:ascii="Times New Roman" w:hAnsi="Times New Roman" w:eastAsia="宋体" w:cs="宋体"/>
                <w:b/>
                <w:bCs/>
                <w:caps w:val="0"/>
                <w:color w:val="auto"/>
                <w:sz w:val="21"/>
                <w:szCs w:val="21"/>
                <w:highlight w:val="none"/>
                <w:lang w:val="en-US" w:eastAsia="zh-CN"/>
              </w:rPr>
              <w:t>t/a</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3"/>
              <w:gridCol w:w="3544"/>
              <w:gridCol w:w="2701"/>
            </w:tblGrid>
            <w:tr w14:paraId="5B1ABB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6" w:type="pct"/>
                  <w:tcBorders>
                    <w:tl2br w:val="nil"/>
                    <w:tr2bl w:val="nil"/>
                  </w:tcBorders>
                  <w:vAlign w:val="center"/>
                </w:tcPr>
                <w:p w14:paraId="676DBE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vertAlign w:val="baseline"/>
                      <w:lang w:val="en-US" w:eastAsia="zh-CN"/>
                    </w:rPr>
                  </w:pPr>
                  <w:r>
                    <w:rPr>
                      <w:rFonts w:hint="eastAsia" w:ascii="Times New Roman" w:hAnsi="Times New Roman" w:eastAsia="宋体" w:cs="宋体"/>
                      <w:caps w:val="0"/>
                      <w:color w:val="auto"/>
                      <w:sz w:val="21"/>
                      <w:szCs w:val="21"/>
                      <w:highlight w:val="none"/>
                      <w:vertAlign w:val="baseline"/>
                      <w:lang w:val="en-US" w:eastAsia="zh-CN"/>
                    </w:rPr>
                    <w:t>类别</w:t>
                  </w:r>
                </w:p>
              </w:tc>
              <w:tc>
                <w:tcPr>
                  <w:tcW w:w="2254" w:type="pct"/>
                  <w:tcBorders>
                    <w:tl2br w:val="nil"/>
                    <w:tr2bl w:val="nil"/>
                  </w:tcBorders>
                  <w:vAlign w:val="center"/>
                </w:tcPr>
                <w:p w14:paraId="0A17CC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vertAlign w:val="baseline"/>
                      <w:lang w:val="en-US" w:eastAsia="zh-CN"/>
                    </w:rPr>
                  </w:pPr>
                  <w:r>
                    <w:rPr>
                      <w:rFonts w:hint="eastAsia" w:ascii="Times New Roman" w:hAnsi="Times New Roman" w:eastAsia="宋体" w:cs="宋体"/>
                      <w:caps w:val="0"/>
                      <w:color w:val="auto"/>
                      <w:sz w:val="21"/>
                      <w:szCs w:val="21"/>
                      <w:highlight w:val="none"/>
                      <w:vertAlign w:val="baseline"/>
                      <w:lang w:val="en-US" w:eastAsia="zh-CN"/>
                    </w:rPr>
                    <w:t>总量控制因子</w:t>
                  </w:r>
                </w:p>
              </w:tc>
              <w:tc>
                <w:tcPr>
                  <w:tcW w:w="1718" w:type="pct"/>
                  <w:tcBorders>
                    <w:tl2br w:val="nil"/>
                    <w:tr2bl w:val="nil"/>
                  </w:tcBorders>
                  <w:vAlign w:val="center"/>
                </w:tcPr>
                <w:p w14:paraId="4FC11E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vertAlign w:val="baseline"/>
                      <w:lang w:val="en-US" w:eastAsia="zh-CN"/>
                    </w:rPr>
                  </w:pPr>
                  <w:r>
                    <w:rPr>
                      <w:rFonts w:hint="eastAsia" w:ascii="Times New Roman" w:hAnsi="Times New Roman" w:eastAsia="宋体" w:cs="宋体"/>
                      <w:caps w:val="0"/>
                      <w:color w:val="auto"/>
                      <w:sz w:val="21"/>
                      <w:szCs w:val="21"/>
                      <w:highlight w:val="none"/>
                      <w:vertAlign w:val="baseline"/>
                      <w:lang w:val="en-US" w:eastAsia="zh-CN"/>
                    </w:rPr>
                    <w:t>全厂核定排放量</w:t>
                  </w:r>
                </w:p>
              </w:tc>
            </w:tr>
            <w:tr w14:paraId="4FD7EF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026" w:type="pct"/>
                  <w:vMerge w:val="restart"/>
                  <w:tcBorders>
                    <w:tl2br w:val="nil"/>
                    <w:tr2bl w:val="nil"/>
                  </w:tcBorders>
                  <w:vAlign w:val="center"/>
                </w:tcPr>
                <w:p w14:paraId="2E57B2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vertAlign w:val="baseline"/>
                      <w:lang w:val="en-US" w:eastAsia="zh-CN"/>
                    </w:rPr>
                  </w:pPr>
                  <w:r>
                    <w:rPr>
                      <w:rFonts w:hint="eastAsia" w:ascii="Times New Roman" w:hAnsi="Times New Roman" w:eastAsia="宋体" w:cs="宋体"/>
                      <w:caps w:val="0"/>
                      <w:color w:val="auto"/>
                      <w:sz w:val="21"/>
                      <w:szCs w:val="21"/>
                      <w:highlight w:val="none"/>
                      <w:vertAlign w:val="baseline"/>
                      <w:lang w:val="en-US" w:eastAsia="zh-CN"/>
                    </w:rPr>
                    <w:t>废气</w:t>
                  </w:r>
                </w:p>
              </w:tc>
              <w:tc>
                <w:tcPr>
                  <w:tcW w:w="2254" w:type="pct"/>
                  <w:tcBorders>
                    <w:tl2br w:val="nil"/>
                    <w:tr2bl w:val="nil"/>
                  </w:tcBorders>
                  <w:vAlign w:val="center"/>
                </w:tcPr>
                <w:p w14:paraId="7B3C00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vertAlign w:val="baseline"/>
                      <w:lang w:val="en-US" w:eastAsia="zh-CN"/>
                    </w:rPr>
                  </w:pPr>
                  <w:r>
                    <w:rPr>
                      <w:rFonts w:hint="eastAsia" w:ascii="Times New Roman" w:hAnsi="Times New Roman" w:eastAsia="宋体" w:cs="宋体"/>
                      <w:caps w:val="0"/>
                      <w:color w:val="auto"/>
                      <w:sz w:val="21"/>
                      <w:szCs w:val="21"/>
                      <w:highlight w:val="none"/>
                      <w:vertAlign w:val="baseline"/>
                      <w:lang w:val="en-US" w:eastAsia="zh-CN"/>
                    </w:rPr>
                    <w:t>颗粒物</w:t>
                  </w:r>
                </w:p>
              </w:tc>
              <w:tc>
                <w:tcPr>
                  <w:tcW w:w="2671" w:type="dxa"/>
                  <w:tcBorders>
                    <w:tl2br w:val="nil"/>
                    <w:tr2bl w:val="nil"/>
                  </w:tcBorders>
                  <w:vAlign w:val="center"/>
                </w:tcPr>
                <w:p w14:paraId="139D7D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lang w:val="en-US" w:eastAsia="zh-CN"/>
                    </w:rPr>
                    <w:t>0.1587</w:t>
                  </w:r>
                </w:p>
              </w:tc>
            </w:tr>
            <w:tr w14:paraId="1AA231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6" w:type="pct"/>
                  <w:vMerge w:val="continue"/>
                  <w:tcBorders>
                    <w:tl2br w:val="nil"/>
                    <w:tr2bl w:val="nil"/>
                  </w:tcBorders>
                  <w:vAlign w:val="center"/>
                </w:tcPr>
                <w:p w14:paraId="1298E3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vertAlign w:val="baseline"/>
                      <w:lang w:val="en-US" w:eastAsia="zh-CN"/>
                    </w:rPr>
                  </w:pPr>
                </w:p>
              </w:tc>
              <w:tc>
                <w:tcPr>
                  <w:tcW w:w="2254" w:type="pct"/>
                  <w:tcBorders>
                    <w:tl2br w:val="nil"/>
                    <w:tr2bl w:val="nil"/>
                  </w:tcBorders>
                  <w:vAlign w:val="center"/>
                </w:tcPr>
                <w:p w14:paraId="5B60B0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vertAlign w:val="baseline"/>
                      <w:lang w:val="en-US" w:eastAsia="zh-CN"/>
                    </w:rPr>
                  </w:pPr>
                  <w:r>
                    <w:rPr>
                      <w:rFonts w:hint="eastAsia" w:ascii="Times New Roman" w:hAnsi="Times New Roman" w:eastAsia="宋体" w:cs="宋体"/>
                      <w:caps w:val="0"/>
                      <w:color w:val="auto"/>
                      <w:sz w:val="21"/>
                      <w:szCs w:val="21"/>
                      <w:highlight w:val="none"/>
                      <w:vertAlign w:val="baseline"/>
                      <w:lang w:val="en-US" w:eastAsia="zh-CN"/>
                    </w:rPr>
                    <w:t>二氧化硫</w:t>
                  </w:r>
                </w:p>
              </w:tc>
              <w:tc>
                <w:tcPr>
                  <w:tcW w:w="2671" w:type="dxa"/>
                  <w:tcBorders>
                    <w:tl2br w:val="nil"/>
                    <w:tr2bl w:val="nil"/>
                  </w:tcBorders>
                  <w:vAlign w:val="center"/>
                </w:tcPr>
                <w:p w14:paraId="7C9FF0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lang w:val="en-US" w:eastAsia="zh-CN"/>
                    </w:rPr>
                    <w:t>1.0583</w:t>
                  </w:r>
                </w:p>
              </w:tc>
            </w:tr>
            <w:tr w14:paraId="70AB83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6" w:type="pct"/>
                  <w:vMerge w:val="continue"/>
                  <w:tcBorders>
                    <w:tl2br w:val="nil"/>
                    <w:tr2bl w:val="nil"/>
                  </w:tcBorders>
                  <w:vAlign w:val="center"/>
                </w:tcPr>
                <w:p w14:paraId="35475C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vertAlign w:val="baseline"/>
                      <w:lang w:val="en-US" w:eastAsia="zh-CN"/>
                    </w:rPr>
                  </w:pPr>
                </w:p>
              </w:tc>
              <w:tc>
                <w:tcPr>
                  <w:tcW w:w="2254" w:type="pct"/>
                  <w:tcBorders>
                    <w:tl2br w:val="nil"/>
                    <w:tr2bl w:val="nil"/>
                  </w:tcBorders>
                  <w:vAlign w:val="center"/>
                </w:tcPr>
                <w:p w14:paraId="32CF2D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vertAlign w:val="baseline"/>
                      <w:lang w:val="en-US" w:eastAsia="zh-CN"/>
                    </w:rPr>
                  </w:pPr>
                  <w:r>
                    <w:rPr>
                      <w:rFonts w:hint="eastAsia" w:ascii="Times New Roman" w:hAnsi="Times New Roman" w:eastAsia="宋体" w:cs="宋体"/>
                      <w:caps w:val="0"/>
                      <w:color w:val="auto"/>
                      <w:sz w:val="21"/>
                      <w:szCs w:val="21"/>
                      <w:highlight w:val="none"/>
                      <w:vertAlign w:val="baseline"/>
                      <w:lang w:val="en-US" w:eastAsia="zh-CN"/>
                    </w:rPr>
                    <w:t>氮氧化物</w:t>
                  </w:r>
                </w:p>
              </w:tc>
              <w:tc>
                <w:tcPr>
                  <w:tcW w:w="2671" w:type="dxa"/>
                  <w:tcBorders>
                    <w:tl2br w:val="nil"/>
                    <w:tr2bl w:val="nil"/>
                  </w:tcBorders>
                  <w:vAlign w:val="center"/>
                </w:tcPr>
                <w:p w14:paraId="40D6CC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vertAlign w:val="baseline"/>
                      <w:lang w:val="en-US" w:eastAsia="zh-CN"/>
                    </w:rPr>
                  </w:pPr>
                  <w:r>
                    <w:rPr>
                      <w:rFonts w:hint="eastAsia" w:ascii="Times New Roman" w:hAnsi="Times New Roman" w:eastAsia="宋体" w:cs="宋体"/>
                      <w:caps w:val="0"/>
                      <w:color w:val="auto"/>
                      <w:spacing w:val="0"/>
                      <w:sz w:val="21"/>
                      <w:szCs w:val="21"/>
                      <w:highlight w:val="none"/>
                      <w:lang w:val="en-US" w:eastAsia="zh-CN"/>
                    </w:rPr>
                    <w:t>1.3229</w:t>
                  </w:r>
                </w:p>
              </w:tc>
            </w:tr>
          </w:tbl>
          <w:p w14:paraId="2EF082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caps w:val="0"/>
                <w:color w:val="auto"/>
                <w:kern w:val="0"/>
                <w:sz w:val="21"/>
                <w:szCs w:val="21"/>
                <w:highlight w:val="none"/>
              </w:rPr>
            </w:pPr>
            <w:r>
              <w:rPr>
                <w:rFonts w:hint="eastAsia" w:ascii="Times New Roman" w:hAnsi="Times New Roman" w:eastAsia="宋体" w:cs="宋体"/>
                <w:b/>
                <w:caps w:val="0"/>
                <w:color w:val="auto"/>
                <w:kern w:val="0"/>
                <w:sz w:val="21"/>
                <w:szCs w:val="21"/>
                <w:highlight w:val="none"/>
              </w:rPr>
              <w:t>表3-</w:t>
            </w:r>
            <w:r>
              <w:rPr>
                <w:rFonts w:hint="eastAsia" w:ascii="Times New Roman" w:hAnsi="Times New Roman" w:cs="宋体"/>
                <w:b/>
                <w:caps w:val="0"/>
                <w:color w:val="auto"/>
                <w:kern w:val="0"/>
                <w:sz w:val="21"/>
                <w:szCs w:val="21"/>
                <w:highlight w:val="none"/>
                <w:lang w:val="en-US" w:eastAsia="zh-CN"/>
              </w:rPr>
              <w:t xml:space="preserve">12 </w:t>
            </w:r>
            <w:r>
              <w:rPr>
                <w:rFonts w:hint="eastAsia" w:ascii="Times New Roman" w:hAnsi="Times New Roman" w:eastAsia="宋体" w:cs="宋体"/>
                <w:b/>
                <w:caps w:val="0"/>
                <w:color w:val="auto"/>
                <w:kern w:val="0"/>
                <w:sz w:val="21"/>
                <w:szCs w:val="21"/>
                <w:highlight w:val="none"/>
              </w:rPr>
              <w:t>项目实施前后</w:t>
            </w:r>
            <w:r>
              <w:rPr>
                <w:rFonts w:hint="eastAsia" w:ascii="Times New Roman" w:hAnsi="Times New Roman" w:eastAsia="宋体" w:cs="宋体"/>
                <w:b/>
                <w:caps w:val="0"/>
                <w:color w:val="auto"/>
                <w:kern w:val="0"/>
                <w:sz w:val="21"/>
                <w:szCs w:val="21"/>
                <w:highlight w:val="none"/>
                <w:lang w:eastAsia="zh-CN"/>
              </w:rPr>
              <w:t>“</w:t>
            </w:r>
            <w:r>
              <w:rPr>
                <w:rFonts w:hint="eastAsia" w:ascii="Times New Roman" w:hAnsi="Times New Roman" w:eastAsia="宋体" w:cs="宋体"/>
                <w:b/>
                <w:caps w:val="0"/>
                <w:color w:val="auto"/>
                <w:kern w:val="0"/>
                <w:sz w:val="21"/>
                <w:szCs w:val="21"/>
                <w:highlight w:val="none"/>
              </w:rPr>
              <w:t>三本帐</w:t>
            </w:r>
            <w:r>
              <w:rPr>
                <w:rFonts w:hint="eastAsia" w:ascii="Times New Roman" w:hAnsi="Times New Roman" w:eastAsia="宋体" w:cs="宋体"/>
                <w:b/>
                <w:caps w:val="0"/>
                <w:color w:val="auto"/>
                <w:kern w:val="0"/>
                <w:sz w:val="21"/>
                <w:szCs w:val="21"/>
                <w:highlight w:val="none"/>
                <w:lang w:eastAsia="zh-CN"/>
              </w:rPr>
              <w:t>”</w:t>
            </w:r>
            <w:r>
              <w:rPr>
                <w:rFonts w:hint="eastAsia" w:ascii="Times New Roman" w:hAnsi="Times New Roman" w:eastAsia="宋体" w:cs="宋体"/>
                <w:b/>
                <w:caps w:val="0"/>
                <w:color w:val="auto"/>
                <w:kern w:val="0"/>
                <w:sz w:val="21"/>
                <w:szCs w:val="21"/>
                <w:highlight w:val="none"/>
              </w:rPr>
              <w:t xml:space="preserve">   单位：t/a</w:t>
            </w:r>
          </w:p>
          <w:tbl>
            <w:tblPr>
              <w:tblStyle w:val="35"/>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791"/>
              <w:gridCol w:w="1078"/>
              <w:gridCol w:w="1018"/>
              <w:gridCol w:w="1168"/>
              <w:gridCol w:w="1194"/>
              <w:gridCol w:w="1759"/>
            </w:tblGrid>
            <w:tr w14:paraId="0B8B44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8" w:type="pct"/>
                  <w:tcBorders>
                    <w:tl2br w:val="nil"/>
                    <w:tr2bl w:val="nil"/>
                  </w:tcBorders>
                  <w:noWrap w:val="0"/>
                  <w:vAlign w:val="center"/>
                </w:tcPr>
                <w:p w14:paraId="7D73BAF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项目</w:t>
                  </w:r>
                </w:p>
              </w:tc>
              <w:tc>
                <w:tcPr>
                  <w:tcW w:w="503" w:type="pct"/>
                  <w:tcBorders>
                    <w:tl2br w:val="nil"/>
                    <w:tr2bl w:val="nil"/>
                  </w:tcBorders>
                  <w:noWrap w:val="0"/>
                  <w:vAlign w:val="center"/>
                </w:tcPr>
                <w:p w14:paraId="428DFBD9">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污染物</w:t>
                  </w:r>
                </w:p>
              </w:tc>
              <w:tc>
                <w:tcPr>
                  <w:tcW w:w="686" w:type="pct"/>
                  <w:tcBorders>
                    <w:tl2br w:val="nil"/>
                    <w:tr2bl w:val="nil"/>
                  </w:tcBorders>
                  <w:noWrap w:val="0"/>
                  <w:vAlign w:val="center"/>
                </w:tcPr>
                <w:p w14:paraId="45E59EE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现有工程排放量</w:t>
                  </w:r>
                </w:p>
              </w:tc>
              <w:tc>
                <w:tcPr>
                  <w:tcW w:w="648" w:type="pct"/>
                  <w:tcBorders>
                    <w:tl2br w:val="nil"/>
                    <w:tr2bl w:val="nil"/>
                  </w:tcBorders>
                  <w:noWrap w:val="0"/>
                  <w:vAlign w:val="center"/>
                </w:tcPr>
                <w:p w14:paraId="64F273E9">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本项目预测排放量</w:t>
                  </w:r>
                </w:p>
              </w:tc>
              <w:tc>
                <w:tcPr>
                  <w:tcW w:w="743" w:type="pct"/>
                  <w:tcBorders>
                    <w:tl2br w:val="nil"/>
                    <w:tr2bl w:val="nil"/>
                  </w:tcBorders>
                  <w:noWrap w:val="0"/>
                  <w:vAlign w:val="center"/>
                </w:tcPr>
                <w:p w14:paraId="198621F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以新带老消减量</w:t>
                  </w:r>
                </w:p>
              </w:tc>
              <w:tc>
                <w:tcPr>
                  <w:tcW w:w="760" w:type="pct"/>
                  <w:tcBorders>
                    <w:tl2br w:val="nil"/>
                    <w:tr2bl w:val="nil"/>
                  </w:tcBorders>
                  <w:noWrap w:val="0"/>
                  <w:vAlign w:val="center"/>
                </w:tcPr>
                <w:p w14:paraId="6CF0C402">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总排放量</w:t>
                  </w:r>
                </w:p>
              </w:tc>
              <w:tc>
                <w:tcPr>
                  <w:tcW w:w="1119" w:type="pct"/>
                  <w:tcBorders>
                    <w:tl2br w:val="nil"/>
                    <w:tr2bl w:val="nil"/>
                  </w:tcBorders>
                  <w:noWrap w:val="0"/>
                  <w:vAlign w:val="center"/>
                </w:tcPr>
                <w:p w14:paraId="7DC4A462">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增减量</w:t>
                  </w:r>
                </w:p>
              </w:tc>
            </w:tr>
            <w:tr w14:paraId="75227F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38" w:type="pct"/>
                  <w:vMerge w:val="restart"/>
                  <w:tcBorders>
                    <w:tl2br w:val="nil"/>
                    <w:tr2bl w:val="nil"/>
                  </w:tcBorders>
                  <w:noWrap w:val="0"/>
                  <w:vAlign w:val="center"/>
                </w:tcPr>
                <w:p w14:paraId="617EF6BE">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废气</w:t>
                  </w:r>
                </w:p>
              </w:tc>
              <w:tc>
                <w:tcPr>
                  <w:tcW w:w="503" w:type="pct"/>
                  <w:tcBorders>
                    <w:tl2br w:val="nil"/>
                    <w:tr2bl w:val="nil"/>
                  </w:tcBorders>
                  <w:noWrap w:val="0"/>
                  <w:vAlign w:val="center"/>
                </w:tcPr>
                <w:p w14:paraId="116D8F3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lang w:eastAsia="zh-CN"/>
                    </w:rPr>
                  </w:pPr>
                  <w:r>
                    <w:rPr>
                      <w:rFonts w:hint="eastAsia" w:ascii="Times New Roman" w:hAnsi="Times New Roman" w:eastAsia="宋体" w:cs="宋体"/>
                      <w:bCs/>
                      <w:caps w:val="0"/>
                      <w:color w:val="auto"/>
                      <w:sz w:val="21"/>
                      <w:szCs w:val="21"/>
                      <w:highlight w:val="none"/>
                      <w:lang w:val="en-US" w:eastAsia="zh-CN"/>
                    </w:rPr>
                    <w:t>颗粒物</w:t>
                  </w:r>
                </w:p>
              </w:tc>
              <w:tc>
                <w:tcPr>
                  <w:tcW w:w="686" w:type="pct"/>
                  <w:tcBorders>
                    <w:tl2br w:val="nil"/>
                    <w:tr2bl w:val="nil"/>
                  </w:tcBorders>
                  <w:noWrap w:val="0"/>
                  <w:vAlign w:val="center"/>
                </w:tcPr>
                <w:p w14:paraId="7CF8ABE9">
                  <w:pPr>
                    <w:keepNext w:val="0"/>
                    <w:keepLines w:val="0"/>
                    <w:pageBreakBefore w:val="0"/>
                    <w:widowControl w:val="0"/>
                    <w:shd w:val="clear"/>
                    <w:kinsoku/>
                    <w:wordWrap/>
                    <w:overflowPunct/>
                    <w:topLinePunct w:val="0"/>
                    <w:bidi w:val="0"/>
                    <w:adjustRightInd w:val="0"/>
                    <w:spacing w:line="240" w:lineRule="auto"/>
                    <w:ind w:firstLine="0" w:firstLineChars="0"/>
                    <w:jc w:val="center"/>
                    <w:textAlignment w:val="center"/>
                    <w:rPr>
                      <w:rFonts w:hint="default" w:ascii="Times New Roman" w:hAnsi="Times New Roman" w:eastAsia="宋体" w:cs="宋体"/>
                      <w:b w:val="0"/>
                      <w:bCs/>
                      <w:caps w:val="0"/>
                      <w:color w:val="auto"/>
                      <w:sz w:val="21"/>
                      <w:szCs w:val="21"/>
                      <w:highlight w:val="none"/>
                      <w:lang w:val="en-US" w:eastAsia="zh-CN"/>
                    </w:rPr>
                  </w:pPr>
                  <w:r>
                    <w:rPr>
                      <w:rFonts w:hint="eastAsia" w:ascii="Times New Roman" w:hAnsi="Times New Roman" w:eastAsia="宋体" w:cs="宋体"/>
                      <w:caps w:val="0"/>
                      <w:color w:val="auto"/>
                      <w:kern w:val="0"/>
                      <w:sz w:val="21"/>
                      <w:szCs w:val="21"/>
                      <w:highlight w:val="none"/>
                      <w:lang w:val="en-US" w:eastAsia="zh-CN"/>
                    </w:rPr>
                    <w:t>0.34085（0.3394筛分）</w:t>
                  </w:r>
                </w:p>
              </w:tc>
              <w:tc>
                <w:tcPr>
                  <w:tcW w:w="648" w:type="pct"/>
                  <w:tcBorders>
                    <w:tl2br w:val="nil"/>
                    <w:tr2bl w:val="nil"/>
                  </w:tcBorders>
                  <w:noWrap w:val="0"/>
                  <w:vAlign w:val="center"/>
                </w:tcPr>
                <w:p w14:paraId="610B0B0E">
                  <w:pPr>
                    <w:pStyle w:val="126"/>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宋体"/>
                      <w:b w:val="0"/>
                      <w:bCs/>
                      <w:caps w:val="0"/>
                      <w:color w:val="auto"/>
                      <w:sz w:val="21"/>
                      <w:szCs w:val="21"/>
                      <w:highlight w:val="none"/>
                      <w:lang w:val="en-US" w:eastAsia="zh-CN"/>
                    </w:rPr>
                  </w:pPr>
                  <w:r>
                    <w:rPr>
                      <w:rFonts w:hint="default" w:ascii="Times New Roman" w:hAnsi="Times New Roman" w:eastAsia="宋体" w:cs="宋体"/>
                      <w:b w:val="0"/>
                      <w:bCs/>
                      <w:caps w:val="0"/>
                      <w:color w:val="auto"/>
                      <w:sz w:val="21"/>
                      <w:szCs w:val="21"/>
                      <w:highlight w:val="none"/>
                      <w:lang w:val="en-US" w:eastAsia="zh-CN"/>
                    </w:rPr>
                    <w:t>0</w:t>
                  </w:r>
                  <w:r>
                    <w:rPr>
                      <w:rFonts w:hint="eastAsia" w:ascii="Times New Roman" w:hAnsi="Times New Roman" w:eastAsia="宋体" w:cs="宋体"/>
                      <w:b w:val="0"/>
                      <w:bCs/>
                      <w:caps w:val="0"/>
                      <w:color w:val="auto"/>
                      <w:sz w:val="21"/>
                      <w:szCs w:val="21"/>
                      <w:highlight w:val="none"/>
                      <w:lang w:val="en-US" w:eastAsia="zh-CN"/>
                    </w:rPr>
                    <w:t>.</w:t>
                  </w:r>
                  <w:r>
                    <w:rPr>
                      <w:rFonts w:hint="default" w:ascii="Times New Roman" w:hAnsi="Times New Roman" w:eastAsia="宋体" w:cs="宋体"/>
                      <w:b w:val="0"/>
                      <w:bCs/>
                      <w:caps w:val="0"/>
                      <w:color w:val="auto"/>
                      <w:sz w:val="21"/>
                      <w:szCs w:val="21"/>
                      <w:highlight w:val="none"/>
                      <w:lang w:val="en-US" w:eastAsia="zh-CN"/>
                    </w:rPr>
                    <w:t>000433</w:t>
                  </w:r>
                </w:p>
              </w:tc>
              <w:tc>
                <w:tcPr>
                  <w:tcW w:w="743" w:type="pct"/>
                  <w:tcBorders>
                    <w:tl2br w:val="nil"/>
                    <w:tr2bl w:val="nil"/>
                  </w:tcBorders>
                  <w:noWrap w:val="0"/>
                  <w:vAlign w:val="center"/>
                </w:tcPr>
                <w:p w14:paraId="3EFEA8F9">
                  <w:pPr>
                    <w:pStyle w:val="126"/>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宋体"/>
                      <w:b w:val="0"/>
                      <w:bCs/>
                      <w:caps w:val="0"/>
                      <w:color w:val="auto"/>
                      <w:sz w:val="21"/>
                      <w:szCs w:val="21"/>
                      <w:highlight w:val="none"/>
                      <w:lang w:val="en-US" w:eastAsia="zh-CN"/>
                    </w:rPr>
                  </w:pPr>
                  <w:r>
                    <w:rPr>
                      <w:rFonts w:hint="default" w:ascii="Times New Roman" w:hAnsi="Times New Roman" w:eastAsia="宋体" w:cs="宋体"/>
                      <w:b w:val="0"/>
                      <w:bCs/>
                      <w:caps w:val="0"/>
                      <w:color w:val="auto"/>
                      <w:sz w:val="21"/>
                      <w:szCs w:val="21"/>
                      <w:highlight w:val="none"/>
                      <w:lang w:val="en-US" w:eastAsia="zh-CN"/>
                    </w:rPr>
                    <w:t>0.00145</w:t>
                  </w:r>
                </w:p>
              </w:tc>
              <w:tc>
                <w:tcPr>
                  <w:tcW w:w="760" w:type="pct"/>
                  <w:tcBorders>
                    <w:tl2br w:val="nil"/>
                    <w:tr2bl w:val="nil"/>
                  </w:tcBorders>
                  <w:noWrap w:val="0"/>
                  <w:vAlign w:val="center"/>
                </w:tcPr>
                <w:p w14:paraId="5CF9AF5B">
                  <w:pPr>
                    <w:pStyle w:val="126"/>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宋体"/>
                      <w:b w:val="0"/>
                      <w:bCs/>
                      <w:caps w:val="0"/>
                      <w:snapToGrid w:val="0"/>
                      <w:color w:val="auto"/>
                      <w:kern w:val="0"/>
                      <w:sz w:val="21"/>
                      <w:szCs w:val="21"/>
                      <w:highlight w:val="none"/>
                      <w:lang w:val="en-US"/>
                    </w:rPr>
                  </w:pPr>
                  <w:r>
                    <w:rPr>
                      <w:rFonts w:hint="eastAsia" w:ascii="Times New Roman" w:hAnsi="Times New Roman" w:eastAsia="宋体" w:cs="宋体"/>
                      <w:b w:val="0"/>
                      <w:bCs/>
                      <w:caps w:val="0"/>
                      <w:color w:val="auto"/>
                      <w:sz w:val="21"/>
                      <w:szCs w:val="21"/>
                      <w:highlight w:val="none"/>
                      <w:lang w:val="en-US" w:eastAsia="zh-CN"/>
                    </w:rPr>
                    <w:t>0.339833</w:t>
                  </w:r>
                </w:p>
              </w:tc>
              <w:tc>
                <w:tcPr>
                  <w:tcW w:w="1119" w:type="pct"/>
                  <w:tcBorders>
                    <w:tl2br w:val="nil"/>
                    <w:tr2bl w:val="nil"/>
                  </w:tcBorders>
                  <w:noWrap w:val="0"/>
                  <w:vAlign w:val="center"/>
                </w:tcPr>
                <w:p w14:paraId="6F14494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 w:val="0"/>
                      <w:bCs/>
                      <w:caps w:val="0"/>
                      <w:color w:val="auto"/>
                      <w:kern w:val="2"/>
                      <w:sz w:val="21"/>
                      <w:szCs w:val="21"/>
                      <w:highlight w:val="none"/>
                      <w:lang w:val="en-US" w:eastAsia="zh-CN" w:bidi="ar-SA"/>
                    </w:rPr>
                  </w:pPr>
                  <w:r>
                    <w:rPr>
                      <w:rFonts w:hint="eastAsia" w:ascii="Times New Roman" w:hAnsi="Times New Roman" w:eastAsia="宋体" w:cs="宋体"/>
                      <w:b w:val="0"/>
                      <w:bCs/>
                      <w:caps w:val="0"/>
                      <w:color w:val="auto"/>
                      <w:kern w:val="2"/>
                      <w:sz w:val="21"/>
                      <w:szCs w:val="21"/>
                      <w:highlight w:val="none"/>
                      <w:lang w:val="en-US" w:eastAsia="zh-CN" w:bidi="ar-SA"/>
                    </w:rPr>
                    <w:t>-0.001017</w:t>
                  </w:r>
                </w:p>
              </w:tc>
            </w:tr>
            <w:tr w14:paraId="188E50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38" w:type="pct"/>
                  <w:vMerge w:val="continue"/>
                  <w:tcBorders>
                    <w:tl2br w:val="nil"/>
                    <w:tr2bl w:val="nil"/>
                  </w:tcBorders>
                  <w:noWrap w:val="0"/>
                  <w:vAlign w:val="center"/>
                </w:tcPr>
                <w:p w14:paraId="2E880FE1">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p>
              </w:tc>
              <w:tc>
                <w:tcPr>
                  <w:tcW w:w="503" w:type="pct"/>
                  <w:tcBorders>
                    <w:tl2br w:val="nil"/>
                    <w:tr2bl w:val="nil"/>
                  </w:tcBorders>
                  <w:noWrap w:val="0"/>
                  <w:vAlign w:val="center"/>
                </w:tcPr>
                <w:p w14:paraId="1DE24B0E">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SO</w:t>
                  </w:r>
                  <w:r>
                    <w:rPr>
                      <w:rFonts w:hint="eastAsia" w:ascii="Times New Roman" w:hAnsi="Times New Roman" w:eastAsia="宋体" w:cs="宋体"/>
                      <w:bCs/>
                      <w:caps w:val="0"/>
                      <w:color w:val="auto"/>
                      <w:sz w:val="21"/>
                      <w:szCs w:val="21"/>
                      <w:highlight w:val="none"/>
                      <w:vertAlign w:val="subscript"/>
                    </w:rPr>
                    <w:t>2</w:t>
                  </w:r>
                </w:p>
              </w:tc>
              <w:tc>
                <w:tcPr>
                  <w:tcW w:w="686" w:type="pct"/>
                  <w:tcBorders>
                    <w:tl2br w:val="nil"/>
                    <w:tr2bl w:val="nil"/>
                  </w:tcBorders>
                  <w:noWrap w:val="0"/>
                  <w:vAlign w:val="center"/>
                </w:tcPr>
                <w:p w14:paraId="76AC4211">
                  <w:pPr>
                    <w:keepNext w:val="0"/>
                    <w:keepLines w:val="0"/>
                    <w:pageBreakBefore w:val="0"/>
                    <w:widowControl w:val="0"/>
                    <w:shd w:val="clear"/>
                    <w:kinsoku/>
                    <w:wordWrap/>
                    <w:overflowPunct/>
                    <w:topLinePunct w:val="0"/>
                    <w:bidi w:val="0"/>
                    <w:adjustRightInd w:val="0"/>
                    <w:spacing w:line="240" w:lineRule="auto"/>
                    <w:ind w:firstLine="0" w:firstLineChars="0"/>
                    <w:jc w:val="center"/>
                    <w:textAlignment w:val="center"/>
                    <w:rPr>
                      <w:rFonts w:hint="eastAsia" w:ascii="Times New Roman" w:hAnsi="Times New Roman" w:eastAsia="宋体" w:cs="宋体"/>
                      <w:b w:val="0"/>
                      <w:bCs/>
                      <w:caps w:val="0"/>
                      <w:color w:val="auto"/>
                      <w:sz w:val="21"/>
                      <w:szCs w:val="21"/>
                      <w:highlight w:val="none"/>
                      <w:lang w:val="en-US" w:eastAsia="zh-CN"/>
                    </w:rPr>
                  </w:pPr>
                  <w:r>
                    <w:rPr>
                      <w:rFonts w:hint="eastAsia" w:ascii="Times New Roman" w:hAnsi="Times New Roman" w:cs="宋体"/>
                      <w:caps w:val="0"/>
                      <w:color w:val="auto"/>
                      <w:kern w:val="0"/>
                      <w:sz w:val="21"/>
                      <w:szCs w:val="21"/>
                      <w:highlight w:val="none"/>
                      <w:lang w:val="en-US" w:eastAsia="zh-CN"/>
                    </w:rPr>
                    <w:t>1.1484</w:t>
                  </w:r>
                </w:p>
              </w:tc>
              <w:tc>
                <w:tcPr>
                  <w:tcW w:w="648" w:type="pct"/>
                  <w:tcBorders>
                    <w:tl2br w:val="nil"/>
                    <w:tr2bl w:val="nil"/>
                  </w:tcBorders>
                  <w:noWrap w:val="0"/>
                  <w:vAlign w:val="center"/>
                </w:tcPr>
                <w:p w14:paraId="199688B6">
                  <w:pPr>
                    <w:pStyle w:val="126"/>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宋体"/>
                      <w:b w:val="0"/>
                      <w:bCs/>
                      <w:caps w:val="0"/>
                      <w:color w:val="auto"/>
                      <w:sz w:val="21"/>
                      <w:szCs w:val="21"/>
                      <w:highlight w:val="none"/>
                      <w:lang w:val="en-US" w:eastAsia="zh-CN"/>
                    </w:rPr>
                  </w:pPr>
                  <w:r>
                    <w:rPr>
                      <w:rFonts w:hint="eastAsia" w:ascii="Times New Roman" w:hAnsi="Times New Roman" w:eastAsia="宋体" w:cs="宋体"/>
                      <w:b w:val="0"/>
                      <w:bCs/>
                      <w:caps w:val="0"/>
                      <w:color w:val="auto"/>
                      <w:sz w:val="21"/>
                      <w:szCs w:val="21"/>
                      <w:highlight w:val="none"/>
                      <w:lang w:val="en-US" w:eastAsia="zh-CN"/>
                    </w:rPr>
                    <w:t>0.00791</w:t>
                  </w:r>
                </w:p>
              </w:tc>
              <w:tc>
                <w:tcPr>
                  <w:tcW w:w="743" w:type="pct"/>
                  <w:tcBorders>
                    <w:tl2br w:val="nil"/>
                    <w:tr2bl w:val="nil"/>
                  </w:tcBorders>
                  <w:noWrap w:val="0"/>
                  <w:vAlign w:val="center"/>
                </w:tcPr>
                <w:p w14:paraId="136BB7B0">
                  <w:pPr>
                    <w:keepNext w:val="0"/>
                    <w:keepLines w:val="0"/>
                    <w:pageBreakBefore w:val="0"/>
                    <w:widowControl w:val="0"/>
                    <w:shd w:val="clear"/>
                    <w:kinsoku/>
                    <w:wordWrap/>
                    <w:overflowPunct/>
                    <w:topLinePunct w:val="0"/>
                    <w:bidi w:val="0"/>
                    <w:adjustRightInd w:val="0"/>
                    <w:spacing w:line="240" w:lineRule="auto"/>
                    <w:ind w:firstLine="0" w:firstLineChars="0"/>
                    <w:jc w:val="center"/>
                    <w:textAlignment w:val="center"/>
                    <w:rPr>
                      <w:rFonts w:hint="eastAsia" w:ascii="Times New Roman" w:hAnsi="Times New Roman" w:eastAsia="宋体" w:cs="宋体"/>
                      <w:b w:val="0"/>
                      <w:bCs/>
                      <w:caps w:val="0"/>
                      <w:color w:val="auto"/>
                      <w:sz w:val="21"/>
                      <w:szCs w:val="21"/>
                      <w:highlight w:val="none"/>
                      <w:lang w:val="en-US" w:eastAsia="zh-CN"/>
                    </w:rPr>
                  </w:pPr>
                  <w:r>
                    <w:rPr>
                      <w:rFonts w:hint="eastAsia" w:ascii="Times New Roman" w:hAnsi="Times New Roman" w:cs="宋体"/>
                      <w:caps w:val="0"/>
                      <w:color w:val="auto"/>
                      <w:kern w:val="0"/>
                      <w:sz w:val="21"/>
                      <w:szCs w:val="21"/>
                      <w:highlight w:val="none"/>
                      <w:lang w:val="en-US" w:eastAsia="zh-CN"/>
                    </w:rPr>
                    <w:t>1.1484</w:t>
                  </w:r>
                </w:p>
              </w:tc>
              <w:tc>
                <w:tcPr>
                  <w:tcW w:w="760" w:type="pct"/>
                  <w:tcBorders>
                    <w:tl2br w:val="nil"/>
                    <w:tr2bl w:val="nil"/>
                  </w:tcBorders>
                  <w:noWrap w:val="0"/>
                  <w:vAlign w:val="center"/>
                </w:tcPr>
                <w:p w14:paraId="7ABF836F">
                  <w:pPr>
                    <w:pStyle w:val="126"/>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宋体"/>
                      <w:b w:val="0"/>
                      <w:bCs/>
                      <w:caps w:val="0"/>
                      <w:snapToGrid w:val="0"/>
                      <w:color w:val="auto"/>
                      <w:kern w:val="0"/>
                      <w:sz w:val="21"/>
                      <w:szCs w:val="21"/>
                      <w:highlight w:val="none"/>
                    </w:rPr>
                  </w:pPr>
                  <w:r>
                    <w:rPr>
                      <w:rFonts w:hint="eastAsia" w:ascii="Times New Roman" w:hAnsi="Times New Roman" w:eastAsia="宋体" w:cs="宋体"/>
                      <w:b w:val="0"/>
                      <w:bCs/>
                      <w:caps w:val="0"/>
                      <w:color w:val="auto"/>
                      <w:sz w:val="21"/>
                      <w:szCs w:val="21"/>
                      <w:highlight w:val="none"/>
                      <w:lang w:val="en-US" w:eastAsia="zh-CN"/>
                    </w:rPr>
                    <w:t>0.00791</w:t>
                  </w:r>
                </w:p>
              </w:tc>
              <w:tc>
                <w:tcPr>
                  <w:tcW w:w="1119" w:type="pct"/>
                  <w:tcBorders>
                    <w:tl2br w:val="nil"/>
                    <w:tr2bl w:val="nil"/>
                  </w:tcBorders>
                  <w:noWrap w:val="0"/>
                  <w:vAlign w:val="center"/>
                </w:tcPr>
                <w:p w14:paraId="10FFB3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 w:val="0"/>
                      <w:bCs/>
                      <w:caps w:val="0"/>
                      <w:color w:val="auto"/>
                      <w:kern w:val="2"/>
                      <w:sz w:val="21"/>
                      <w:szCs w:val="21"/>
                      <w:highlight w:val="none"/>
                      <w:lang w:val="en-US" w:eastAsia="zh-CN" w:bidi="ar-SA"/>
                    </w:rPr>
                  </w:pPr>
                  <w:r>
                    <w:rPr>
                      <w:rFonts w:hint="eastAsia" w:ascii="Times New Roman" w:hAnsi="Times New Roman" w:eastAsia="宋体" w:cs="宋体"/>
                      <w:b w:val="0"/>
                      <w:bCs/>
                      <w:caps w:val="0"/>
                      <w:color w:val="auto"/>
                      <w:kern w:val="2"/>
                      <w:sz w:val="21"/>
                      <w:szCs w:val="21"/>
                      <w:highlight w:val="none"/>
                      <w:lang w:val="en-US" w:eastAsia="zh-CN" w:bidi="ar-SA"/>
                    </w:rPr>
                    <w:t>-1.14049</w:t>
                  </w:r>
                </w:p>
              </w:tc>
            </w:tr>
            <w:tr w14:paraId="6C2224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38" w:type="pct"/>
                  <w:vMerge w:val="continue"/>
                  <w:tcBorders>
                    <w:tl2br w:val="nil"/>
                    <w:tr2bl w:val="nil"/>
                  </w:tcBorders>
                  <w:noWrap w:val="0"/>
                  <w:vAlign w:val="center"/>
                </w:tcPr>
                <w:p w14:paraId="4E8ED26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p>
              </w:tc>
              <w:tc>
                <w:tcPr>
                  <w:tcW w:w="503" w:type="pct"/>
                  <w:tcBorders>
                    <w:tl2br w:val="nil"/>
                    <w:tr2bl w:val="nil"/>
                  </w:tcBorders>
                  <w:noWrap w:val="0"/>
                  <w:vAlign w:val="center"/>
                </w:tcPr>
                <w:p w14:paraId="0A70AE2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NO</w:t>
                  </w:r>
                  <w:r>
                    <w:rPr>
                      <w:rFonts w:hint="eastAsia" w:ascii="Times New Roman" w:hAnsi="Times New Roman" w:eastAsia="宋体" w:cs="宋体"/>
                      <w:bCs/>
                      <w:caps w:val="0"/>
                      <w:color w:val="auto"/>
                      <w:sz w:val="21"/>
                      <w:szCs w:val="21"/>
                      <w:highlight w:val="none"/>
                      <w:vertAlign w:val="subscript"/>
                    </w:rPr>
                    <w:t>X</w:t>
                  </w:r>
                </w:p>
              </w:tc>
              <w:tc>
                <w:tcPr>
                  <w:tcW w:w="686" w:type="pct"/>
                  <w:tcBorders>
                    <w:tl2br w:val="nil"/>
                    <w:tr2bl w:val="nil"/>
                  </w:tcBorders>
                  <w:noWrap w:val="0"/>
                  <w:vAlign w:val="center"/>
                </w:tcPr>
                <w:p w14:paraId="50E1CB04">
                  <w:pPr>
                    <w:keepNext w:val="0"/>
                    <w:keepLines w:val="0"/>
                    <w:pageBreakBefore w:val="0"/>
                    <w:widowControl w:val="0"/>
                    <w:shd w:val="clear"/>
                    <w:kinsoku/>
                    <w:wordWrap/>
                    <w:overflowPunct/>
                    <w:topLinePunct w:val="0"/>
                    <w:bidi w:val="0"/>
                    <w:adjustRightInd w:val="0"/>
                    <w:spacing w:line="240" w:lineRule="auto"/>
                    <w:ind w:firstLine="0" w:firstLineChars="0"/>
                    <w:jc w:val="center"/>
                    <w:textAlignment w:val="center"/>
                    <w:rPr>
                      <w:rFonts w:hint="eastAsia" w:ascii="Times New Roman" w:hAnsi="Times New Roman" w:eastAsia="宋体" w:cs="宋体"/>
                      <w:b w:val="0"/>
                      <w:bCs/>
                      <w:caps w:val="0"/>
                      <w:color w:val="auto"/>
                      <w:sz w:val="21"/>
                      <w:szCs w:val="21"/>
                      <w:highlight w:val="none"/>
                      <w:lang w:val="en-US" w:eastAsia="zh-CN"/>
                    </w:rPr>
                  </w:pPr>
                  <w:r>
                    <w:rPr>
                      <w:rFonts w:hint="eastAsia" w:ascii="Times New Roman" w:hAnsi="Times New Roman" w:cs="宋体"/>
                      <w:caps w:val="0"/>
                      <w:color w:val="auto"/>
                      <w:kern w:val="0"/>
                      <w:sz w:val="21"/>
                      <w:szCs w:val="21"/>
                      <w:highlight w:val="none"/>
                      <w:lang w:val="en-US" w:eastAsia="zh-CN"/>
                    </w:rPr>
                    <w:t>0.689</w:t>
                  </w:r>
                </w:p>
              </w:tc>
              <w:tc>
                <w:tcPr>
                  <w:tcW w:w="648" w:type="pct"/>
                  <w:tcBorders>
                    <w:tl2br w:val="nil"/>
                    <w:tr2bl w:val="nil"/>
                  </w:tcBorders>
                  <w:noWrap w:val="0"/>
                  <w:vAlign w:val="center"/>
                </w:tcPr>
                <w:p w14:paraId="38274CA5">
                  <w:pPr>
                    <w:pStyle w:val="126"/>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宋体"/>
                      <w:b w:val="0"/>
                      <w:bCs/>
                      <w:caps w:val="0"/>
                      <w:color w:val="auto"/>
                      <w:sz w:val="21"/>
                      <w:szCs w:val="21"/>
                      <w:highlight w:val="none"/>
                      <w:lang w:val="en-US" w:eastAsia="zh-CN"/>
                    </w:rPr>
                  </w:pPr>
                  <w:r>
                    <w:rPr>
                      <w:rFonts w:hint="eastAsia" w:ascii="Times New Roman" w:hAnsi="Times New Roman" w:eastAsia="宋体" w:cs="宋体"/>
                      <w:b w:val="0"/>
                      <w:bCs/>
                      <w:caps w:val="0"/>
                      <w:color w:val="auto"/>
                      <w:sz w:val="21"/>
                      <w:szCs w:val="21"/>
                      <w:highlight w:val="none"/>
                      <w:lang w:val="en-US" w:eastAsia="zh-CN"/>
                    </w:rPr>
                    <w:t>1.058</w:t>
                  </w:r>
                </w:p>
              </w:tc>
              <w:tc>
                <w:tcPr>
                  <w:tcW w:w="743" w:type="pct"/>
                  <w:tcBorders>
                    <w:tl2br w:val="nil"/>
                    <w:tr2bl w:val="nil"/>
                  </w:tcBorders>
                  <w:noWrap w:val="0"/>
                  <w:vAlign w:val="center"/>
                </w:tcPr>
                <w:p w14:paraId="004CAD8F">
                  <w:pPr>
                    <w:keepNext w:val="0"/>
                    <w:keepLines w:val="0"/>
                    <w:pageBreakBefore w:val="0"/>
                    <w:widowControl w:val="0"/>
                    <w:shd w:val="clear"/>
                    <w:kinsoku/>
                    <w:wordWrap/>
                    <w:overflowPunct/>
                    <w:topLinePunct w:val="0"/>
                    <w:bidi w:val="0"/>
                    <w:adjustRightInd w:val="0"/>
                    <w:spacing w:line="240" w:lineRule="auto"/>
                    <w:ind w:firstLine="0" w:firstLineChars="0"/>
                    <w:jc w:val="center"/>
                    <w:textAlignment w:val="center"/>
                    <w:rPr>
                      <w:rFonts w:hint="eastAsia" w:ascii="Times New Roman" w:hAnsi="Times New Roman" w:eastAsia="宋体" w:cs="宋体"/>
                      <w:b w:val="0"/>
                      <w:bCs/>
                      <w:caps w:val="0"/>
                      <w:color w:val="auto"/>
                      <w:sz w:val="21"/>
                      <w:szCs w:val="21"/>
                      <w:highlight w:val="none"/>
                      <w:lang w:val="en-US" w:eastAsia="zh-CN"/>
                    </w:rPr>
                  </w:pPr>
                  <w:r>
                    <w:rPr>
                      <w:rFonts w:hint="eastAsia" w:ascii="Times New Roman" w:hAnsi="Times New Roman" w:cs="宋体"/>
                      <w:caps w:val="0"/>
                      <w:color w:val="auto"/>
                      <w:kern w:val="0"/>
                      <w:sz w:val="21"/>
                      <w:szCs w:val="21"/>
                      <w:highlight w:val="none"/>
                      <w:lang w:val="en-US" w:eastAsia="zh-CN"/>
                    </w:rPr>
                    <w:t>0.689</w:t>
                  </w:r>
                </w:p>
              </w:tc>
              <w:tc>
                <w:tcPr>
                  <w:tcW w:w="760" w:type="pct"/>
                  <w:tcBorders>
                    <w:tl2br w:val="nil"/>
                    <w:tr2bl w:val="nil"/>
                  </w:tcBorders>
                  <w:noWrap w:val="0"/>
                  <w:vAlign w:val="center"/>
                </w:tcPr>
                <w:p w14:paraId="717FF4A8">
                  <w:pPr>
                    <w:pStyle w:val="126"/>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宋体"/>
                      <w:b w:val="0"/>
                      <w:bCs/>
                      <w:caps w:val="0"/>
                      <w:snapToGrid w:val="0"/>
                      <w:color w:val="auto"/>
                      <w:kern w:val="0"/>
                      <w:sz w:val="21"/>
                      <w:szCs w:val="21"/>
                      <w:highlight w:val="none"/>
                      <w:lang w:val="en-US"/>
                    </w:rPr>
                  </w:pPr>
                  <w:r>
                    <w:rPr>
                      <w:rFonts w:hint="eastAsia" w:ascii="Times New Roman" w:hAnsi="Times New Roman" w:eastAsia="宋体" w:cs="宋体"/>
                      <w:b w:val="0"/>
                      <w:bCs/>
                      <w:caps w:val="0"/>
                      <w:color w:val="auto"/>
                      <w:sz w:val="21"/>
                      <w:szCs w:val="21"/>
                      <w:highlight w:val="none"/>
                      <w:lang w:val="en-US" w:eastAsia="zh-CN"/>
                    </w:rPr>
                    <w:t>1.058</w:t>
                  </w:r>
                </w:p>
              </w:tc>
              <w:tc>
                <w:tcPr>
                  <w:tcW w:w="1119" w:type="pct"/>
                  <w:tcBorders>
                    <w:tl2br w:val="nil"/>
                    <w:tr2bl w:val="nil"/>
                  </w:tcBorders>
                  <w:noWrap w:val="0"/>
                  <w:vAlign w:val="center"/>
                </w:tcPr>
                <w:p w14:paraId="444C395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 w:val="0"/>
                      <w:bCs/>
                      <w:caps w:val="0"/>
                      <w:color w:val="auto"/>
                      <w:kern w:val="2"/>
                      <w:sz w:val="21"/>
                      <w:szCs w:val="21"/>
                      <w:highlight w:val="none"/>
                      <w:lang w:val="en-US" w:eastAsia="zh-CN" w:bidi="ar-SA"/>
                    </w:rPr>
                  </w:pPr>
                  <w:r>
                    <w:rPr>
                      <w:rFonts w:hint="eastAsia" w:ascii="Times New Roman" w:hAnsi="Times New Roman" w:eastAsia="宋体" w:cs="宋体"/>
                      <w:b w:val="0"/>
                      <w:bCs/>
                      <w:caps w:val="0"/>
                      <w:color w:val="auto"/>
                      <w:kern w:val="2"/>
                      <w:sz w:val="21"/>
                      <w:szCs w:val="21"/>
                      <w:highlight w:val="none"/>
                      <w:lang w:val="en-US" w:eastAsia="zh-CN" w:bidi="ar-SA"/>
                    </w:rPr>
                    <w:t>+0.369</w:t>
                  </w:r>
                </w:p>
              </w:tc>
            </w:tr>
          </w:tbl>
          <w:p w14:paraId="5ECDB119">
            <w:pPr>
              <w:ind w:firstLine="0" w:firstLineChars="0"/>
              <w:jc w:val="center"/>
              <w:rPr>
                <w:rFonts w:hint="eastAsia" w:ascii="Times New Roman" w:hAnsi="Times New Roman" w:eastAsia="宋体" w:cs="宋体"/>
                <w:caps w:val="0"/>
                <w:color w:val="auto"/>
                <w:spacing w:val="0"/>
                <w:highlight w:val="none"/>
                <w:lang w:val="en-US" w:eastAsia="zh-CN"/>
              </w:rPr>
            </w:pPr>
          </w:p>
        </w:tc>
      </w:tr>
    </w:tbl>
    <w:p w14:paraId="2BC107E9">
      <w:pPr>
        <w:pStyle w:val="7"/>
        <w:rPr>
          <w:rFonts w:hint="eastAsia" w:ascii="Times New Roman" w:hAnsi="Times New Roman" w:eastAsia="宋体" w:cs="宋体"/>
          <w:caps w:val="0"/>
          <w:spacing w:val="0"/>
          <w:highlight w:val="none"/>
        </w:rPr>
        <w:sectPr>
          <w:pgSz w:w="11907" w:h="16840"/>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bookmarkEnd w:id="9"/>
    <w:bookmarkEnd w:id="10"/>
    <w:p w14:paraId="60AB7220">
      <w:pPr>
        <w:pStyle w:val="7"/>
        <w:spacing w:line="360" w:lineRule="auto"/>
        <w:jc w:val="center"/>
        <w:rPr>
          <w:rFonts w:hint="eastAsia" w:ascii="Times New Roman" w:hAnsi="Times New Roman" w:eastAsia="宋体" w:cs="宋体"/>
          <w:bCs w:val="0"/>
          <w:caps w:val="0"/>
          <w:spacing w:val="0"/>
          <w:highlight w:val="none"/>
        </w:rPr>
      </w:pPr>
      <w:bookmarkStart w:id="12" w:name="_Toc5672"/>
      <w:bookmarkStart w:id="13" w:name="_Toc71191480"/>
      <w:r>
        <w:rPr>
          <w:rFonts w:hint="eastAsia" w:ascii="Times New Roman" w:hAnsi="Times New Roman" w:eastAsia="宋体" w:cs="宋体"/>
          <w:bCs w:val="0"/>
          <w:caps w:val="0"/>
          <w:spacing w:val="0"/>
          <w:highlight w:val="none"/>
        </w:rPr>
        <w:t>四、主要环境影响和保护措施</w:t>
      </w:r>
      <w:bookmarkEnd w:id="12"/>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87"/>
        <w:gridCol w:w="7950"/>
      </w:tblGrid>
      <w:tr w14:paraId="0E2092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4" w:hRule="atLeast"/>
          <w:jc w:val="center"/>
        </w:trPr>
        <w:tc>
          <w:tcPr>
            <w:tcW w:w="491" w:type="dxa"/>
            <w:noWrap w:val="0"/>
            <w:tcMar>
              <w:left w:w="28" w:type="dxa"/>
              <w:right w:w="28" w:type="dxa"/>
            </w:tcMar>
            <w:vAlign w:val="center"/>
          </w:tcPr>
          <w:p w14:paraId="5E2ACA4F">
            <w:pPr>
              <w:spacing w:line="240" w:lineRule="auto"/>
              <w:ind w:firstLine="0" w:firstLineChars="0"/>
              <w:jc w:val="center"/>
              <w:rPr>
                <w:rFonts w:hint="eastAsia" w:ascii="Times New Roman" w:hAnsi="Times New Roman" w:eastAsia="宋体" w:cs="宋体"/>
                <w:bCs w:val="0"/>
                <w:caps w:val="0"/>
                <w:color w:val="auto"/>
                <w:spacing w:val="0"/>
                <w:kern w:val="2"/>
                <w:sz w:val="21"/>
                <w:szCs w:val="21"/>
                <w:highlight w:val="none"/>
              </w:rPr>
            </w:pPr>
            <w:r>
              <w:rPr>
                <w:rFonts w:hint="eastAsia" w:ascii="Times New Roman" w:hAnsi="Times New Roman" w:eastAsia="宋体" w:cs="宋体"/>
                <w:bCs/>
                <w:caps w:val="0"/>
                <w:color w:val="auto"/>
                <w:spacing w:val="0"/>
                <w:sz w:val="22"/>
                <w:szCs w:val="22"/>
                <w:highlight w:val="none"/>
                <w:lang w:eastAsia="zh-CN"/>
              </w:rPr>
              <w:t>施工</w:t>
            </w:r>
            <w:r>
              <w:rPr>
                <w:rFonts w:hint="eastAsia" w:ascii="Times New Roman" w:hAnsi="Times New Roman" w:eastAsia="宋体" w:cs="宋体"/>
                <w:bCs/>
                <w:caps w:val="0"/>
                <w:color w:val="auto"/>
                <w:spacing w:val="0"/>
                <w:sz w:val="22"/>
                <w:szCs w:val="22"/>
                <w:highlight w:val="none"/>
              </w:rPr>
              <w:t>期环境影响和保护措施</w:t>
            </w:r>
          </w:p>
        </w:tc>
        <w:tc>
          <w:tcPr>
            <w:tcW w:w="8025" w:type="dxa"/>
            <w:tcBorders>
              <w:bottom w:val="single" w:color="auto" w:sz="4" w:space="0"/>
            </w:tcBorders>
            <w:noWrap w:val="0"/>
            <w:vAlign w:val="center"/>
          </w:tcPr>
          <w:p w14:paraId="277026E7">
            <w:pPr>
              <w:keepNext/>
              <w:keepLines/>
              <w:numPr>
                <w:ilvl w:val="2"/>
                <w:numId w:val="0"/>
              </w:numPr>
              <w:adjustRightInd w:val="0"/>
              <w:snapToGrid w:val="0"/>
              <w:spacing w:line="360" w:lineRule="auto"/>
              <w:ind w:firstLine="360" w:firstLineChars="150"/>
              <w:jc w:val="both"/>
              <w:outlineLvl w:val="2"/>
              <w:rPr>
                <w:rFonts w:hint="eastAsia" w:ascii="Times New Roman" w:hAnsi="Times New Roman" w:eastAsia="宋体" w:cs="宋体"/>
                <w:caps w:val="0"/>
                <w:color w:val="auto"/>
                <w:spacing w:val="0"/>
                <w:highlight w:val="none"/>
              </w:rPr>
            </w:pPr>
            <w:r>
              <w:rPr>
                <w:rFonts w:hint="eastAsia" w:ascii="Times New Roman" w:hAnsi="Times New Roman" w:eastAsia="宋体" w:cs="宋体"/>
                <w:caps w:val="0"/>
                <w:color w:val="auto"/>
                <w:spacing w:val="0"/>
                <w:highlight w:val="none"/>
                <w:lang w:val="en-US" w:eastAsia="zh-CN"/>
              </w:rPr>
              <w:t>本项目施工核心为生物</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spacing w:val="0"/>
                <w:highlight w:val="none"/>
                <w:lang w:val="en-US" w:eastAsia="zh-CN"/>
              </w:rPr>
              <w:t>改造（生物质燃烧器改燃油）、新增2台燃油</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spacing w:val="0"/>
                <w:highlight w:val="none"/>
                <w:lang w:val="en-US" w:eastAsia="zh-CN"/>
              </w:rPr>
              <w:t>、2台</w:t>
            </w:r>
            <w:r>
              <w:rPr>
                <w:rFonts w:hint="eastAsia" w:ascii="Times New Roman" w:hAnsi="Times New Roman" w:cs="宋体"/>
                <w:caps w:val="0"/>
                <w:color w:val="auto"/>
                <w:spacing w:val="0"/>
                <w:highlight w:val="none"/>
                <w:lang w:val="en-US" w:eastAsia="zh-CN"/>
              </w:rPr>
              <w:t>燃料储罐（一台应急储罐）</w:t>
            </w:r>
            <w:r>
              <w:rPr>
                <w:rFonts w:hint="eastAsia" w:ascii="Times New Roman" w:hAnsi="Times New Roman" w:eastAsia="宋体" w:cs="宋体"/>
                <w:caps w:val="0"/>
                <w:color w:val="auto"/>
                <w:spacing w:val="0"/>
                <w:highlight w:val="none"/>
                <w:lang w:val="en-US" w:eastAsia="zh-CN"/>
              </w:rPr>
              <w:t>及1座事故池，土建工程</w:t>
            </w:r>
            <w:r>
              <w:rPr>
                <w:rFonts w:hint="eastAsia" w:ascii="Times New Roman" w:hAnsi="Times New Roman" w:cs="宋体"/>
                <w:caps w:val="0"/>
                <w:color w:val="auto"/>
                <w:spacing w:val="0"/>
                <w:highlight w:val="none"/>
                <w:lang w:val="en-US" w:eastAsia="zh-CN"/>
              </w:rPr>
              <w:t>为事故池的建设</w:t>
            </w:r>
            <w:r>
              <w:rPr>
                <w:rFonts w:hint="eastAsia" w:ascii="Times New Roman" w:hAnsi="Times New Roman" w:eastAsia="宋体" w:cs="宋体"/>
                <w:caps w:val="0"/>
                <w:color w:val="auto"/>
                <w:spacing w:val="0"/>
                <w:highlight w:val="none"/>
                <w:lang w:val="en-US" w:eastAsia="zh-CN"/>
              </w:rPr>
              <w:t>，施工期污染物影响及防控措施如下：</w:t>
            </w:r>
          </w:p>
          <w:p w14:paraId="29FB9C19">
            <w:pPr>
              <w:keepNext/>
              <w:keepLines/>
              <w:numPr>
                <w:ilvl w:val="2"/>
                <w:numId w:val="0"/>
              </w:numPr>
              <w:adjustRightInd w:val="0"/>
              <w:snapToGrid w:val="0"/>
              <w:spacing w:line="360" w:lineRule="auto"/>
              <w:ind w:firstLine="360" w:firstLineChars="150"/>
              <w:jc w:val="both"/>
              <w:outlineLvl w:val="2"/>
              <w:rPr>
                <w:rFonts w:hint="eastAsia" w:ascii="Times New Roman" w:hAnsi="Times New Roman" w:eastAsia="宋体" w:cs="宋体"/>
                <w:caps w:val="0"/>
                <w:color w:val="auto"/>
                <w:spacing w:val="0"/>
                <w:highlight w:val="none"/>
              </w:rPr>
            </w:pPr>
            <w:r>
              <w:rPr>
                <w:rFonts w:hint="eastAsia" w:ascii="Times New Roman" w:hAnsi="Times New Roman" w:eastAsia="宋体" w:cs="宋体"/>
                <w:caps w:val="0"/>
                <w:color w:val="auto"/>
                <w:spacing w:val="0"/>
                <w:highlight w:val="none"/>
                <w:lang w:val="en-US" w:eastAsia="zh-CN"/>
              </w:rPr>
              <w:t>一、施工废气施工废气主要为少量设备运输、装卸及场地整理产生的扬尘，无大规模土方作业，扬尘影响轻微且具暂时性。防治措施：运输车辆密闭运输，驶离场地前冲洗轮胎；施工现场裸置地面简易覆盖，按需洒水降尘；物料堆放加盖苫盖，严格落实“六个百分百”中相关防尘要求，施工结束后扬尘影响即刻消除。</w:t>
            </w:r>
          </w:p>
          <w:p w14:paraId="57306864">
            <w:pPr>
              <w:keepNext/>
              <w:keepLines/>
              <w:numPr>
                <w:ilvl w:val="2"/>
                <w:numId w:val="0"/>
              </w:numPr>
              <w:adjustRightInd w:val="0"/>
              <w:snapToGrid w:val="0"/>
              <w:spacing w:line="360" w:lineRule="auto"/>
              <w:ind w:firstLine="360" w:firstLineChars="150"/>
              <w:jc w:val="both"/>
              <w:outlineLvl w:val="2"/>
              <w:rPr>
                <w:rFonts w:hint="eastAsia" w:ascii="Times New Roman" w:hAnsi="Times New Roman" w:eastAsia="宋体" w:cs="宋体"/>
                <w:caps w:val="0"/>
                <w:color w:val="auto"/>
                <w:spacing w:val="0"/>
                <w:highlight w:val="none"/>
              </w:rPr>
            </w:pPr>
            <w:r>
              <w:rPr>
                <w:rFonts w:hint="eastAsia" w:ascii="Times New Roman" w:hAnsi="Times New Roman" w:eastAsia="宋体" w:cs="宋体"/>
                <w:caps w:val="0"/>
                <w:color w:val="auto"/>
                <w:spacing w:val="0"/>
                <w:highlight w:val="none"/>
                <w:lang w:val="en-US" w:eastAsia="zh-CN"/>
              </w:rPr>
              <w:t>二、施工噪声噪声源于施工机械（如小型安装设备、运输车辆）运行，声级80~95dB（A），属短期暂时性影响。防控措施：选用低噪声设备，加强维护；固定设备集中放置，减少扩散；合理安排施工时间，优先白天作业，禁止夜间产生噪声污染的施工；采用低噪声联络方式，降低人为噪声。</w:t>
            </w:r>
          </w:p>
          <w:p w14:paraId="6E1D67E2">
            <w:pPr>
              <w:keepNext/>
              <w:keepLines/>
              <w:numPr>
                <w:ilvl w:val="2"/>
                <w:numId w:val="0"/>
              </w:numPr>
              <w:adjustRightInd w:val="0"/>
              <w:snapToGrid w:val="0"/>
              <w:spacing w:line="360" w:lineRule="auto"/>
              <w:ind w:firstLine="360" w:firstLineChars="150"/>
              <w:jc w:val="both"/>
              <w:outlineLvl w:val="2"/>
              <w:rPr>
                <w:rFonts w:hint="eastAsia" w:ascii="Times New Roman" w:hAnsi="Times New Roman" w:eastAsia="宋体" w:cs="宋体"/>
                <w:caps w:val="0"/>
                <w:color w:val="auto"/>
                <w:spacing w:val="0"/>
                <w:highlight w:val="none"/>
              </w:rPr>
            </w:pPr>
            <w:r>
              <w:rPr>
                <w:rFonts w:hint="eastAsia" w:ascii="Times New Roman" w:hAnsi="Times New Roman" w:eastAsia="宋体" w:cs="宋体"/>
                <w:caps w:val="0"/>
                <w:color w:val="auto"/>
                <w:spacing w:val="0"/>
                <w:highlight w:val="none"/>
                <w:lang w:val="en-US" w:eastAsia="zh-CN"/>
              </w:rPr>
              <w:t>三、施工废水</w:t>
            </w:r>
          </w:p>
          <w:p w14:paraId="161ED7E1">
            <w:pPr>
              <w:keepNext/>
              <w:keepLines/>
              <w:numPr>
                <w:ilvl w:val="2"/>
                <w:numId w:val="0"/>
              </w:numPr>
              <w:adjustRightInd w:val="0"/>
              <w:snapToGrid w:val="0"/>
              <w:spacing w:line="360" w:lineRule="auto"/>
              <w:ind w:firstLine="360" w:firstLineChars="150"/>
              <w:jc w:val="both"/>
              <w:outlineLvl w:val="2"/>
              <w:rPr>
                <w:rFonts w:hint="eastAsia" w:ascii="Times New Roman" w:hAnsi="Times New Roman" w:eastAsia="宋体" w:cs="宋体"/>
                <w:caps w:val="0"/>
                <w:color w:val="auto"/>
                <w:spacing w:val="0"/>
                <w:highlight w:val="none"/>
              </w:rPr>
            </w:pPr>
            <w:r>
              <w:rPr>
                <w:rFonts w:hint="eastAsia" w:ascii="Times New Roman" w:hAnsi="Times New Roman" w:eastAsia="宋体" w:cs="宋体"/>
                <w:caps w:val="0"/>
                <w:color w:val="auto"/>
                <w:spacing w:val="0"/>
                <w:highlight w:val="none"/>
              </w:rPr>
              <w:t>生活污水：施工人员产生的少量生活污水经</w:t>
            </w:r>
            <w:r>
              <w:rPr>
                <w:rFonts w:hint="eastAsia" w:ascii="Times New Roman" w:hAnsi="Times New Roman" w:cs="宋体"/>
                <w:caps w:val="0"/>
                <w:color w:val="auto"/>
                <w:spacing w:val="0"/>
                <w:highlight w:val="none"/>
                <w:lang w:val="en-US" w:eastAsia="zh-CN"/>
              </w:rPr>
              <w:t>污水管网排入梨树污水处理厂集中处理</w:t>
            </w:r>
            <w:r>
              <w:rPr>
                <w:rFonts w:hint="eastAsia" w:ascii="Times New Roman" w:hAnsi="Times New Roman" w:eastAsia="宋体" w:cs="宋体"/>
                <w:caps w:val="0"/>
                <w:color w:val="auto"/>
                <w:spacing w:val="0"/>
                <w:highlight w:val="none"/>
              </w:rPr>
              <w:t>。</w:t>
            </w:r>
          </w:p>
          <w:p w14:paraId="1BB9A41B">
            <w:pPr>
              <w:keepNext/>
              <w:keepLines/>
              <w:numPr>
                <w:ilvl w:val="2"/>
                <w:numId w:val="0"/>
              </w:numPr>
              <w:adjustRightInd w:val="0"/>
              <w:snapToGrid w:val="0"/>
              <w:spacing w:line="360" w:lineRule="auto"/>
              <w:ind w:firstLine="360" w:firstLineChars="150"/>
              <w:jc w:val="both"/>
              <w:outlineLvl w:val="2"/>
              <w:rPr>
                <w:rFonts w:hint="eastAsia" w:ascii="Times New Roman" w:hAnsi="Times New Roman" w:eastAsia="宋体" w:cs="宋体"/>
                <w:caps w:val="0"/>
                <w:color w:val="auto"/>
                <w:spacing w:val="0"/>
                <w:highlight w:val="none"/>
              </w:rPr>
            </w:pPr>
            <w:r>
              <w:rPr>
                <w:rFonts w:hint="eastAsia" w:ascii="Times New Roman" w:hAnsi="Times New Roman" w:eastAsia="宋体" w:cs="宋体"/>
                <w:caps w:val="0"/>
                <w:color w:val="auto"/>
                <w:spacing w:val="0"/>
                <w:highlight w:val="none"/>
              </w:rPr>
              <w:t>施工废水：车辆冲洗废水经临时沉淀池沉淀后回用，无外排；设置简易截排水设施，避免雨水冲刷造成水土流失。</w:t>
            </w:r>
          </w:p>
          <w:p w14:paraId="10EDA79D">
            <w:pPr>
              <w:keepNext/>
              <w:keepLines/>
              <w:numPr>
                <w:ilvl w:val="2"/>
                <w:numId w:val="0"/>
              </w:numPr>
              <w:adjustRightInd w:val="0"/>
              <w:snapToGrid w:val="0"/>
              <w:spacing w:line="360" w:lineRule="auto"/>
              <w:ind w:firstLine="360" w:firstLineChars="150"/>
              <w:jc w:val="both"/>
              <w:outlineLvl w:val="2"/>
              <w:rPr>
                <w:rFonts w:hint="eastAsia" w:ascii="Times New Roman" w:hAnsi="Times New Roman" w:eastAsia="宋体" w:cs="宋体"/>
                <w:caps w:val="0"/>
                <w:color w:val="auto"/>
                <w:spacing w:val="0"/>
                <w:highlight w:val="none"/>
              </w:rPr>
            </w:pPr>
            <w:r>
              <w:rPr>
                <w:rFonts w:hint="eastAsia" w:ascii="Times New Roman" w:hAnsi="Times New Roman" w:eastAsia="宋体" w:cs="宋体"/>
                <w:caps w:val="0"/>
                <w:color w:val="auto"/>
                <w:spacing w:val="0"/>
                <w:highlight w:val="none"/>
                <w:lang w:val="en-US" w:eastAsia="zh-CN"/>
              </w:rPr>
              <w:t>四、施工固体废物包括设备包装废料、少量建筑垃圾及生活垃圾。防控措施：建筑垃圾设临时堆放点，加盖防护，及时清运至指定地点；设备包装废料由厂家回收；生活垃圾袋装收集，定时清运，严禁随意丢弃，避免二次污染。</w:t>
            </w:r>
          </w:p>
          <w:p w14:paraId="6005899F">
            <w:pPr>
              <w:keepNext/>
              <w:keepLines/>
              <w:numPr>
                <w:ilvl w:val="2"/>
                <w:numId w:val="0"/>
              </w:numPr>
              <w:adjustRightInd w:val="0"/>
              <w:snapToGrid w:val="0"/>
              <w:spacing w:line="360" w:lineRule="auto"/>
              <w:ind w:firstLine="360" w:firstLineChars="150"/>
              <w:jc w:val="both"/>
              <w:outlineLvl w:val="2"/>
              <w:rPr>
                <w:rFonts w:hint="eastAsia" w:ascii="Times New Roman" w:hAnsi="Times New Roman" w:eastAsia="宋体" w:cs="宋体"/>
                <w:caps w:val="0"/>
                <w:color w:val="auto"/>
                <w:spacing w:val="0"/>
                <w:highlight w:val="none"/>
              </w:rPr>
            </w:pPr>
            <w:r>
              <w:rPr>
                <w:rFonts w:hint="eastAsia" w:ascii="Times New Roman" w:hAnsi="Times New Roman" w:eastAsia="宋体" w:cs="宋体"/>
                <w:caps w:val="0"/>
                <w:color w:val="auto"/>
                <w:spacing w:val="0"/>
                <w:highlight w:val="none"/>
                <w:lang w:val="en-US" w:eastAsia="zh-CN"/>
              </w:rPr>
              <w:t>综上，本项目施工期短、土建量小，各类污染物产生量少，且采取针对性防控措施，影响均为暂时性，施工结束后环境可恢复至原有水平，环境风险可控。</w:t>
            </w:r>
          </w:p>
        </w:tc>
      </w:tr>
      <w:tr w14:paraId="1958BB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76" w:hRule="atLeast"/>
          <w:jc w:val="center"/>
        </w:trPr>
        <w:tc>
          <w:tcPr>
            <w:tcW w:w="491" w:type="dxa"/>
            <w:noWrap w:val="0"/>
            <w:tcMar>
              <w:left w:w="28" w:type="dxa"/>
              <w:right w:w="28" w:type="dxa"/>
            </w:tcMar>
            <w:vAlign w:val="center"/>
          </w:tcPr>
          <w:p w14:paraId="028081CB">
            <w:pPr>
              <w:spacing w:line="240" w:lineRule="auto"/>
              <w:ind w:firstLine="0" w:firstLineChars="0"/>
              <w:jc w:val="center"/>
              <w:rPr>
                <w:rFonts w:hint="eastAsia" w:ascii="Times New Roman" w:hAnsi="Times New Roman" w:eastAsia="宋体" w:cs="宋体"/>
                <w:caps w:val="0"/>
                <w:spacing w:val="0"/>
                <w:sz w:val="21"/>
                <w:szCs w:val="21"/>
                <w:highlight w:val="none"/>
              </w:rPr>
            </w:pPr>
            <w:r>
              <w:rPr>
                <w:rFonts w:hint="eastAsia" w:ascii="Times New Roman" w:hAnsi="Times New Roman" w:eastAsia="宋体" w:cs="宋体"/>
                <w:caps w:val="0"/>
                <w:spacing w:val="0"/>
                <w:sz w:val="21"/>
                <w:szCs w:val="21"/>
                <w:highlight w:val="none"/>
              </w:rPr>
              <w:t>运营</w:t>
            </w:r>
          </w:p>
          <w:p w14:paraId="42D3DAA8">
            <w:pPr>
              <w:spacing w:line="240" w:lineRule="auto"/>
              <w:ind w:firstLine="0" w:firstLineChars="0"/>
              <w:jc w:val="center"/>
              <w:rPr>
                <w:rFonts w:hint="eastAsia" w:ascii="Times New Roman" w:hAnsi="Times New Roman" w:eastAsia="宋体" w:cs="宋体"/>
                <w:caps w:val="0"/>
                <w:spacing w:val="0"/>
                <w:sz w:val="21"/>
                <w:szCs w:val="21"/>
                <w:highlight w:val="none"/>
              </w:rPr>
            </w:pPr>
            <w:r>
              <w:rPr>
                <w:rFonts w:hint="eastAsia" w:ascii="Times New Roman" w:hAnsi="Times New Roman" w:eastAsia="宋体" w:cs="宋体"/>
                <w:caps w:val="0"/>
                <w:spacing w:val="0"/>
                <w:sz w:val="21"/>
                <w:szCs w:val="21"/>
                <w:highlight w:val="none"/>
              </w:rPr>
              <w:t>期环</w:t>
            </w:r>
          </w:p>
          <w:p w14:paraId="56E3AD64">
            <w:pPr>
              <w:spacing w:line="240" w:lineRule="auto"/>
              <w:ind w:firstLine="0" w:firstLineChars="0"/>
              <w:jc w:val="center"/>
              <w:rPr>
                <w:rFonts w:hint="eastAsia" w:ascii="Times New Roman" w:hAnsi="Times New Roman" w:eastAsia="宋体" w:cs="宋体"/>
                <w:caps w:val="0"/>
                <w:spacing w:val="0"/>
                <w:sz w:val="21"/>
                <w:szCs w:val="21"/>
                <w:highlight w:val="none"/>
              </w:rPr>
            </w:pPr>
            <w:r>
              <w:rPr>
                <w:rFonts w:hint="eastAsia" w:ascii="Times New Roman" w:hAnsi="Times New Roman" w:eastAsia="宋体" w:cs="宋体"/>
                <w:caps w:val="0"/>
                <w:spacing w:val="0"/>
                <w:sz w:val="21"/>
                <w:szCs w:val="21"/>
                <w:highlight w:val="none"/>
              </w:rPr>
              <w:t>境影</w:t>
            </w:r>
          </w:p>
          <w:p w14:paraId="384840CA">
            <w:pPr>
              <w:spacing w:line="240" w:lineRule="auto"/>
              <w:ind w:firstLine="0" w:firstLineChars="0"/>
              <w:jc w:val="center"/>
              <w:rPr>
                <w:rFonts w:hint="eastAsia" w:ascii="Times New Roman" w:hAnsi="Times New Roman" w:eastAsia="宋体" w:cs="宋体"/>
                <w:caps w:val="0"/>
                <w:spacing w:val="0"/>
                <w:sz w:val="21"/>
                <w:szCs w:val="21"/>
                <w:highlight w:val="none"/>
              </w:rPr>
            </w:pPr>
            <w:r>
              <w:rPr>
                <w:rFonts w:hint="eastAsia" w:ascii="Times New Roman" w:hAnsi="Times New Roman" w:eastAsia="宋体" w:cs="宋体"/>
                <w:caps w:val="0"/>
                <w:spacing w:val="0"/>
                <w:sz w:val="21"/>
                <w:szCs w:val="21"/>
                <w:highlight w:val="none"/>
              </w:rPr>
              <w:t>响和</w:t>
            </w:r>
          </w:p>
          <w:p w14:paraId="33F53B27">
            <w:pPr>
              <w:spacing w:line="240" w:lineRule="auto"/>
              <w:ind w:firstLine="0" w:firstLineChars="0"/>
              <w:jc w:val="center"/>
              <w:rPr>
                <w:rFonts w:hint="eastAsia" w:ascii="Times New Roman" w:hAnsi="Times New Roman" w:eastAsia="宋体" w:cs="宋体"/>
                <w:caps w:val="0"/>
                <w:spacing w:val="0"/>
                <w:sz w:val="21"/>
                <w:szCs w:val="21"/>
                <w:highlight w:val="none"/>
              </w:rPr>
            </w:pPr>
            <w:r>
              <w:rPr>
                <w:rFonts w:hint="eastAsia" w:ascii="Times New Roman" w:hAnsi="Times New Roman" w:eastAsia="宋体" w:cs="宋体"/>
                <w:caps w:val="0"/>
                <w:spacing w:val="0"/>
                <w:sz w:val="21"/>
                <w:szCs w:val="21"/>
                <w:highlight w:val="none"/>
              </w:rPr>
              <w:t>保护</w:t>
            </w:r>
          </w:p>
          <w:p w14:paraId="6729309B">
            <w:pPr>
              <w:spacing w:line="240" w:lineRule="auto"/>
              <w:ind w:firstLine="0" w:firstLineChars="0"/>
              <w:jc w:val="center"/>
              <w:rPr>
                <w:rFonts w:hint="eastAsia" w:ascii="Times New Roman" w:hAnsi="Times New Roman" w:eastAsia="宋体" w:cs="宋体"/>
                <w:caps w:val="0"/>
                <w:color w:val="FF0000"/>
                <w:spacing w:val="0"/>
                <w:sz w:val="21"/>
                <w:szCs w:val="21"/>
                <w:highlight w:val="none"/>
              </w:rPr>
            </w:pPr>
            <w:r>
              <w:rPr>
                <w:rFonts w:hint="eastAsia" w:ascii="Times New Roman" w:hAnsi="Times New Roman" w:eastAsia="宋体" w:cs="宋体"/>
                <w:caps w:val="0"/>
                <w:spacing w:val="0"/>
                <w:sz w:val="21"/>
                <w:szCs w:val="21"/>
                <w:highlight w:val="none"/>
              </w:rPr>
              <w:t>措施</w:t>
            </w:r>
          </w:p>
        </w:tc>
        <w:tc>
          <w:tcPr>
            <w:tcW w:w="8025" w:type="dxa"/>
            <w:tcBorders>
              <w:top w:val="single" w:color="auto" w:sz="4" w:space="0"/>
              <w:bottom w:val="single" w:color="auto" w:sz="4" w:space="0"/>
            </w:tcBorders>
            <w:noWrap w:val="0"/>
            <w:vAlign w:val="center"/>
          </w:tcPr>
          <w:p w14:paraId="4129B55D">
            <w:pPr>
              <w:numPr>
                <w:ilvl w:val="0"/>
                <w:numId w:val="6"/>
              </w:num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废气</w:t>
            </w:r>
          </w:p>
          <w:p w14:paraId="50934478">
            <w:pPr>
              <w:adjustRightInd w:val="0"/>
              <w:snapToGrid w:val="0"/>
              <w:spacing w:line="360" w:lineRule="auto"/>
              <w:ind w:firstLine="482" w:firstLineChars="200"/>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b/>
                <w:caps w:val="0"/>
                <w:spacing w:val="0"/>
                <w:sz w:val="24"/>
                <w:highlight w:val="none"/>
                <w:lang w:val="en-US" w:eastAsia="zh-CN"/>
              </w:rPr>
              <w:t>1.1</w:t>
            </w:r>
            <w:r>
              <w:rPr>
                <w:rFonts w:hint="eastAsia" w:ascii="Times New Roman" w:hAnsi="Times New Roman" w:eastAsia="宋体" w:cs="宋体"/>
                <w:b/>
                <w:caps w:val="0"/>
                <w:color w:val="000000"/>
                <w:spacing w:val="0"/>
                <w:sz w:val="24"/>
                <w:highlight w:val="none"/>
                <w:lang w:bidi="ar"/>
              </w:rPr>
              <w:t>源强核算分析</w:t>
            </w:r>
          </w:p>
          <w:p w14:paraId="19D1BFF2">
            <w:pPr>
              <w:pStyle w:val="5"/>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right="0" w:rightChars="0" w:firstLine="480" w:firstLineChars="200"/>
              <w:textAlignment w:val="auto"/>
              <w:rPr>
                <w:rFonts w:hint="eastAsia"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（1）源强分析</w:t>
            </w:r>
          </w:p>
          <w:p w14:paraId="2933BA83">
            <w:pPr>
              <w:pStyle w:val="5"/>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right="0" w:rightChars="0" w:firstLine="480" w:firstLineChars="200"/>
              <w:textAlignment w:val="auto"/>
              <w:rPr>
                <w:rFonts w:hint="default" w:ascii="Times New Roman" w:hAnsi="Times New Roman" w:eastAsia="宋体" w:cs="宋体"/>
                <w:caps w:val="0"/>
                <w:color w:val="auto"/>
                <w:spacing w:val="0"/>
                <w:sz w:val="24"/>
                <w:szCs w:val="24"/>
                <w:highlight w:val="none"/>
                <w:lang w:val="en-US" w:eastAsia="zh-CN"/>
              </w:rPr>
            </w:pPr>
            <w:r>
              <w:rPr>
                <w:rFonts w:hint="eastAsia" w:cs="宋体"/>
                <w:caps w:val="0"/>
                <w:color w:val="auto"/>
                <w:spacing w:val="0"/>
                <w:sz w:val="24"/>
                <w:szCs w:val="24"/>
                <w:highlight w:val="none"/>
                <w:lang w:val="en-US" w:eastAsia="zh-CN"/>
              </w:rPr>
              <w:t>1）</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cs="宋体"/>
                <w:caps w:val="0"/>
                <w:color w:val="auto"/>
                <w:spacing w:val="0"/>
                <w:sz w:val="24"/>
                <w:szCs w:val="24"/>
                <w:highlight w:val="none"/>
                <w:lang w:val="en-US" w:eastAsia="zh-CN"/>
              </w:rPr>
              <w:t>废气</w:t>
            </w:r>
          </w:p>
          <w:p w14:paraId="03536C13">
            <w:pPr>
              <w:pStyle w:val="5"/>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right="0" w:rightChars="0" w:firstLine="480" w:firstLineChars="200"/>
              <w:textAlignment w:val="auto"/>
              <w:rPr>
                <w:rFonts w:hint="eastAsia"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本项目产生的废气主要是</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spacing w:val="0"/>
                <w:sz w:val="24"/>
                <w:szCs w:val="24"/>
                <w:highlight w:val="none"/>
                <w:lang w:val="en-US" w:eastAsia="zh-CN"/>
              </w:rPr>
              <w:t>产生的废气，主要污染物为颗粒物、二氧化硫、氮氧化物、烟气黑度。</w:t>
            </w:r>
          </w:p>
          <w:p w14:paraId="5A66D2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aps w:val="0"/>
                <w:color w:val="auto"/>
                <w:sz w:val="24"/>
                <w:highlight w:val="none"/>
              </w:rPr>
            </w:pPr>
            <w:r>
              <w:rPr>
                <w:rFonts w:hint="eastAsia" w:ascii="Times New Roman" w:hAnsi="Times New Roman" w:eastAsia="宋体" w:cs="宋体"/>
                <w:caps w:val="0"/>
                <w:color w:val="auto"/>
                <w:sz w:val="24"/>
                <w:szCs w:val="22"/>
                <w:highlight w:val="none"/>
                <w:lang w:val="en-US" w:eastAsia="zh-CN"/>
              </w:rPr>
              <w:t>根据《污染源源强核算技术指南 锅炉》中5.1物料衡算法，燃油锅炉颗粒物排放量</w:t>
            </w:r>
            <w:r>
              <w:rPr>
                <w:rFonts w:ascii="Times New Roman" w:hAnsi="Times New Roman" w:eastAsia="宋体" w:cs="宋体"/>
                <w:caps w:val="0"/>
                <w:color w:val="auto"/>
                <w:sz w:val="24"/>
                <w:highlight w:val="none"/>
              </w:rPr>
              <w:t>采用经验公式估算法进行</w:t>
            </w:r>
            <w:r>
              <w:rPr>
                <w:rFonts w:hint="eastAsia" w:ascii="Times New Roman" w:hAnsi="Times New Roman" w:eastAsia="宋体" w:cs="宋体"/>
                <w:caps w:val="0"/>
                <w:color w:val="auto"/>
                <w:sz w:val="24"/>
                <w:highlight w:val="none"/>
                <w:lang w:val="en-US" w:eastAsia="zh-CN"/>
              </w:rPr>
              <w:t>估算</w:t>
            </w:r>
            <w:r>
              <w:rPr>
                <w:rFonts w:hint="eastAsia" w:ascii="Times New Roman" w:hAnsi="Times New Roman" w:eastAsia="宋体" w:cs="宋体"/>
                <w:caps w:val="0"/>
                <w:color w:val="auto"/>
                <w:sz w:val="24"/>
                <w:szCs w:val="22"/>
                <w:highlight w:val="none"/>
                <w:lang w:val="en-US" w:eastAsia="zh-CN"/>
              </w:rPr>
              <w:t>、氮氧化物排放量参照式（5）估算、二氧化硫排放量参照式（4）估算。</w:t>
            </w:r>
          </w:p>
          <w:p w14:paraId="5251684E">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宋体"/>
                <w:caps w:val="0"/>
                <w:color w:val="auto"/>
                <w:sz w:val="24"/>
                <w:szCs w:val="24"/>
                <w:highlight w:val="none"/>
                <w:lang w:val="en-US" w:eastAsia="zh-CN"/>
              </w:rPr>
            </w:pPr>
            <w:r>
              <w:rPr>
                <w:rFonts w:hint="eastAsia" w:ascii="Times New Roman" w:hAnsi="Times New Roman" w:eastAsia="宋体" w:cs="宋体"/>
                <w:caps w:val="0"/>
                <w:color w:val="auto"/>
                <w:sz w:val="24"/>
                <w:szCs w:val="24"/>
                <w:highlight w:val="none"/>
                <w:lang w:val="en-US" w:eastAsia="zh-CN"/>
              </w:rPr>
              <w:t>①烟气量</w:t>
            </w:r>
          </w:p>
          <w:p w14:paraId="495DACA3">
            <w:pPr>
              <w:pStyle w:val="27"/>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aps w:val="0"/>
                <w:color w:val="auto"/>
                <w:sz w:val="24"/>
                <w:szCs w:val="24"/>
                <w:highlight w:val="none"/>
                <w:lang w:val="en-US" w:eastAsia="zh-CN"/>
              </w:rPr>
            </w:pPr>
            <w:r>
              <w:rPr>
                <w:rFonts w:hint="eastAsia" w:ascii="Times New Roman" w:hAnsi="Times New Roman" w:eastAsia="宋体" w:cs="宋体"/>
                <w:caps w:val="0"/>
                <w:color w:val="auto"/>
                <w:sz w:val="24"/>
                <w:szCs w:val="24"/>
                <w:highlight w:val="none"/>
                <w:lang w:val="en-US" w:eastAsia="zh-CN"/>
              </w:rPr>
              <w:t>根据《排污许可证申请与核发技术规范 锅炉》（HJ953-2018），锅炉排污单位若无燃料元素分析数据，可根据燃料低位发热量计算基准烟气量。本项目烟气量根据《排污许可证申请与核发技术规范 锅炉》-</w:t>
            </w:r>
            <w:r>
              <w:rPr>
                <w:rFonts w:hint="eastAsia" w:ascii="Times New Roman" w:hAnsi="Times New Roman" w:eastAsia="宋体" w:cs="宋体"/>
                <w:bCs/>
                <w:caps w:val="0"/>
                <w:color w:val="auto"/>
                <w:kern w:val="2"/>
                <w:sz w:val="24"/>
                <w:szCs w:val="22"/>
                <w:highlight w:val="none"/>
                <w:lang w:val="en-US" w:eastAsia="zh-CN" w:bidi="ar-SA"/>
              </w:rPr>
              <w:t>HJ 953-2018表5</w:t>
            </w:r>
            <w:r>
              <w:rPr>
                <w:rFonts w:hint="eastAsia" w:ascii="Times New Roman" w:hAnsi="Times New Roman" w:eastAsia="宋体" w:cs="宋体"/>
                <w:caps w:val="0"/>
                <w:color w:val="auto"/>
                <w:sz w:val="24"/>
                <w:szCs w:val="24"/>
                <w:highlight w:val="none"/>
                <w:lang w:val="en-US" w:eastAsia="zh-CN"/>
              </w:rPr>
              <w:t>基准烟气量取值表计算，燃油锅炉基准烟气量计算公式：</w:t>
            </w:r>
          </w:p>
          <w:p w14:paraId="7C4EF051">
            <w:pPr>
              <w:bidi w:val="0"/>
              <w:jc w:val="center"/>
              <w:rPr>
                <w:rFonts w:hint="default" w:ascii="Times New Roman" w:hAnsi="Times New Roman" w:eastAsia="宋体" w:cs="宋体"/>
                <w:caps w:val="0"/>
                <w:color w:val="auto"/>
                <w:sz w:val="24"/>
                <w:szCs w:val="32"/>
                <w:highlight w:val="none"/>
                <w:lang w:val="en-US" w:eastAsia="zh-CN"/>
              </w:rPr>
            </w:pPr>
            <w:r>
              <w:rPr>
                <w:rFonts w:hint="default" w:ascii="Times New Roman" w:hAnsi="Times New Roman" w:eastAsia="宋体" w:cs="宋体"/>
                <w:caps w:val="0"/>
                <w:color w:val="auto"/>
                <w:sz w:val="24"/>
                <w:szCs w:val="32"/>
                <w:highlight w:val="none"/>
              </w:rPr>
              <w:t>Vgy=0</w:t>
            </w:r>
            <w:r>
              <w:rPr>
                <w:rFonts w:hint="eastAsia" w:ascii="Times New Roman" w:hAnsi="Times New Roman" w:eastAsia="宋体" w:cs="宋体"/>
                <w:caps w:val="0"/>
                <w:color w:val="auto"/>
                <w:sz w:val="24"/>
                <w:szCs w:val="32"/>
                <w:highlight w:val="none"/>
                <w:lang w:eastAsia="zh-CN"/>
              </w:rPr>
              <w:t>.</w:t>
            </w:r>
            <w:r>
              <w:rPr>
                <w:rFonts w:hint="default" w:ascii="Times New Roman" w:hAnsi="Times New Roman" w:eastAsia="宋体" w:cs="宋体"/>
                <w:caps w:val="0"/>
                <w:color w:val="auto"/>
                <w:sz w:val="24"/>
                <w:szCs w:val="32"/>
                <w:highlight w:val="none"/>
                <w:lang w:val="en-US" w:eastAsia="zh-CN"/>
              </w:rPr>
              <w:t>29</w:t>
            </w:r>
            <w:r>
              <w:rPr>
                <w:rFonts w:hint="default" w:ascii="Times New Roman" w:hAnsi="Times New Roman" w:eastAsia="宋体" w:cs="宋体"/>
                <w:caps w:val="0"/>
                <w:color w:val="auto"/>
                <w:sz w:val="24"/>
                <w:szCs w:val="32"/>
                <w:highlight w:val="none"/>
              </w:rPr>
              <w:t>Qnet，ar+0</w:t>
            </w:r>
            <w:r>
              <w:rPr>
                <w:rFonts w:hint="eastAsia" w:ascii="Times New Roman" w:hAnsi="Times New Roman" w:eastAsia="宋体" w:cs="宋体"/>
                <w:caps w:val="0"/>
                <w:color w:val="auto"/>
                <w:sz w:val="24"/>
                <w:szCs w:val="32"/>
                <w:highlight w:val="none"/>
                <w:lang w:eastAsia="zh-CN"/>
              </w:rPr>
              <w:t>.</w:t>
            </w:r>
            <w:r>
              <w:rPr>
                <w:rFonts w:hint="default" w:ascii="Times New Roman" w:hAnsi="Times New Roman" w:eastAsia="宋体" w:cs="宋体"/>
                <w:caps w:val="0"/>
                <w:color w:val="auto"/>
                <w:sz w:val="24"/>
                <w:szCs w:val="32"/>
                <w:highlight w:val="none"/>
                <w:lang w:val="en-US" w:eastAsia="zh-CN"/>
              </w:rPr>
              <w:t>379</w:t>
            </w:r>
            <w:r>
              <w:rPr>
                <w:rFonts w:hint="eastAsia" w:ascii="Times New Roman" w:hAnsi="Times New Roman" w:eastAsia="宋体" w:cs="宋体"/>
                <w:caps w:val="0"/>
                <w:color w:val="auto"/>
                <w:sz w:val="24"/>
                <w:szCs w:val="32"/>
                <w:highlight w:val="none"/>
                <w:lang w:val="en-US" w:eastAsia="zh-CN"/>
              </w:rPr>
              <w:t xml:space="preserve">   单位</w:t>
            </w:r>
            <w:r>
              <w:rPr>
                <w:rFonts w:ascii="Times New Roman" w:hAnsi="Times New Roman" w:eastAsia="宋体" w:cs="宋体"/>
                <w:caps w:val="0"/>
                <w:color w:val="auto"/>
                <w:highlight w:val="none"/>
              </w:rPr>
              <w:t>Nm</w:t>
            </w:r>
            <w:r>
              <w:rPr>
                <w:rFonts w:ascii="Times New Roman" w:hAnsi="Times New Roman" w:eastAsia="宋体" w:cs="宋体"/>
                <w:caps w:val="0"/>
                <w:color w:val="auto"/>
                <w:highlight w:val="none"/>
                <w:vertAlign w:val="superscript"/>
              </w:rPr>
              <w:t>3</w:t>
            </w:r>
            <w:r>
              <w:rPr>
                <w:rFonts w:ascii="Times New Roman" w:hAnsi="Times New Roman" w:eastAsia="宋体" w:cs="宋体"/>
                <w:caps w:val="0"/>
                <w:color w:val="auto"/>
                <w:highlight w:val="none"/>
              </w:rPr>
              <w:t>/kg</w:t>
            </w:r>
          </w:p>
          <w:p w14:paraId="709F454B">
            <w:pPr>
              <w:adjustRightInd w:val="0"/>
              <w:snapToGrid w:val="0"/>
              <w:spacing w:line="360" w:lineRule="auto"/>
              <w:ind w:firstLine="480" w:firstLineChars="200"/>
              <w:rPr>
                <w:rFonts w:ascii="Times New Roman" w:hAnsi="Times New Roman" w:eastAsia="宋体" w:cs="宋体"/>
                <w:bCs/>
                <w:caps w:val="0"/>
                <w:color w:val="auto"/>
                <w:sz w:val="24"/>
                <w:highlight w:val="none"/>
              </w:rPr>
            </w:pPr>
            <w:r>
              <w:rPr>
                <w:rFonts w:ascii="Times New Roman" w:hAnsi="Times New Roman" w:eastAsia="宋体" w:cs="宋体"/>
                <w:bCs/>
                <w:caps w:val="0"/>
                <w:color w:val="auto"/>
                <w:sz w:val="24"/>
                <w:highlight w:val="none"/>
              </w:rPr>
              <w:t>本项目：</w:t>
            </w:r>
          </w:p>
          <w:p w14:paraId="155575DC">
            <w:pPr>
              <w:spacing w:line="360" w:lineRule="auto"/>
              <w:ind w:firstLine="480" w:firstLineChars="200"/>
              <w:rPr>
                <w:rFonts w:hint="eastAsia" w:ascii="Times New Roman" w:hAnsi="Times New Roman" w:eastAsia="宋体" w:cs="宋体"/>
                <w:caps w:val="0"/>
                <w:color w:val="auto"/>
                <w:sz w:val="24"/>
                <w:highlight w:val="none"/>
                <w:lang w:val="en-US" w:eastAsia="zh-CN"/>
              </w:rPr>
            </w:pPr>
            <w:r>
              <w:rPr>
                <w:rFonts w:ascii="Times New Roman" w:hAnsi="Times New Roman" w:eastAsia="宋体" w:cs="宋体"/>
                <w:caps w:val="0"/>
                <w:color w:val="auto"/>
                <w:sz w:val="24"/>
                <w:highlight w:val="none"/>
              </w:rPr>
              <w:t>Q</w:t>
            </w:r>
            <w:r>
              <w:rPr>
                <w:rFonts w:ascii="Times New Roman" w:hAnsi="Times New Roman" w:eastAsia="宋体" w:cs="宋体"/>
                <w:caps w:val="0"/>
                <w:color w:val="auto"/>
                <w:sz w:val="24"/>
                <w:highlight w:val="none"/>
                <w:vertAlign w:val="subscript"/>
              </w:rPr>
              <w:t>net,ar</w:t>
            </w:r>
            <w:r>
              <w:rPr>
                <w:rFonts w:ascii="Times New Roman" w:hAnsi="Times New Roman" w:eastAsia="宋体" w:cs="宋体"/>
                <w:caps w:val="0"/>
                <w:color w:val="auto"/>
                <w:sz w:val="24"/>
                <w:highlight w:val="none"/>
              </w:rPr>
              <w:t>（收到基低位发热量）取</w:t>
            </w:r>
            <w:r>
              <w:rPr>
                <w:rFonts w:hint="eastAsia" w:ascii="Times New Roman" w:hAnsi="Times New Roman" w:eastAsia="宋体" w:cs="宋体"/>
                <w:caps w:val="0"/>
                <w:color w:val="auto"/>
                <w:sz w:val="24"/>
                <w:highlight w:val="none"/>
                <w:lang w:val="en-US" w:eastAsia="zh-CN"/>
              </w:rPr>
              <w:t>42.52</w:t>
            </w:r>
            <w:r>
              <w:rPr>
                <w:rFonts w:ascii="Times New Roman" w:hAnsi="Times New Roman" w:eastAsia="宋体" w:cs="宋体"/>
                <w:caps w:val="0"/>
                <w:color w:val="auto"/>
                <w:sz w:val="24"/>
                <w:highlight w:val="none"/>
              </w:rPr>
              <w:t>MJ/kg，</w:t>
            </w:r>
            <w:r>
              <w:rPr>
                <w:rFonts w:ascii="Times New Roman" w:hAnsi="Times New Roman" w:eastAsia="宋体" w:cs="宋体"/>
                <w:bCs/>
                <w:caps w:val="0"/>
                <w:color w:val="auto"/>
                <w:sz w:val="24"/>
                <w:highlight w:val="none"/>
              </w:rPr>
              <w:t>采用公式：Vgy</w:t>
            </w:r>
            <w:r>
              <w:rPr>
                <w:rFonts w:ascii="Times New Roman" w:hAnsi="Times New Roman" w:eastAsia="宋体" w:cs="宋体"/>
                <w:caps w:val="0"/>
                <w:color w:val="auto"/>
                <w:sz w:val="24"/>
                <w:highlight w:val="none"/>
              </w:rPr>
              <w:t>=</w:t>
            </w:r>
            <w:r>
              <w:rPr>
                <w:rFonts w:hint="eastAsia" w:ascii="Times New Roman" w:hAnsi="Times New Roman" w:eastAsia="宋体" w:cs="宋体"/>
                <w:caps w:val="0"/>
                <w:color w:val="auto"/>
                <w:sz w:val="24"/>
                <w:highlight w:val="none"/>
                <w:lang w:val="en-US" w:eastAsia="zh-CN"/>
              </w:rPr>
              <w:t>12709.8</w:t>
            </w:r>
            <w:r>
              <w:rPr>
                <w:rFonts w:ascii="Times New Roman" w:hAnsi="Times New Roman" w:eastAsia="宋体" w:cs="宋体"/>
                <w:caps w:val="0"/>
                <w:color w:val="auto"/>
                <w:sz w:val="24"/>
                <w:highlight w:val="none"/>
              </w:rPr>
              <w:t>Nm</w:t>
            </w:r>
            <w:r>
              <w:rPr>
                <w:rFonts w:ascii="Times New Roman" w:hAnsi="Times New Roman" w:eastAsia="宋体" w:cs="宋体"/>
                <w:caps w:val="0"/>
                <w:color w:val="auto"/>
                <w:sz w:val="24"/>
                <w:highlight w:val="none"/>
                <w:vertAlign w:val="superscript"/>
              </w:rPr>
              <w:t>3</w:t>
            </w:r>
            <w:r>
              <w:rPr>
                <w:rFonts w:ascii="Times New Roman" w:hAnsi="Times New Roman" w:eastAsia="宋体" w:cs="宋体"/>
                <w:caps w:val="0"/>
                <w:color w:val="auto"/>
                <w:sz w:val="24"/>
                <w:highlight w:val="none"/>
              </w:rPr>
              <w:t>/t</w:t>
            </w:r>
            <w:r>
              <w:rPr>
                <w:rFonts w:hint="eastAsia" w:ascii="Times New Roman" w:hAnsi="Times New Roman" w:eastAsia="宋体" w:cs="宋体"/>
                <w:caps w:val="0"/>
                <w:color w:val="auto"/>
                <w:sz w:val="24"/>
                <w:highlight w:val="none"/>
                <w:lang w:eastAsia="zh-CN"/>
              </w:rPr>
              <w:t>，</w:t>
            </w:r>
          </w:p>
          <w:p w14:paraId="3F8B7374">
            <w:pPr>
              <w:pStyle w:val="47"/>
              <w:rPr>
                <w:rFonts w:hint="eastAsia" w:ascii="Times New Roman" w:hAnsi="Times New Roman" w:eastAsia="宋体" w:cs="宋体"/>
                <w:caps w:val="0"/>
                <w:color w:val="auto"/>
                <w:sz w:val="24"/>
                <w:highlight w:val="none"/>
                <w:lang w:eastAsia="zh-CN"/>
              </w:rPr>
            </w:pPr>
            <w:r>
              <w:rPr>
                <w:rFonts w:ascii="Times New Roman" w:hAnsi="Times New Roman" w:eastAsia="宋体" w:cs="宋体"/>
                <w:caps w:val="0"/>
                <w:color w:val="auto"/>
                <w:sz w:val="24"/>
                <w:highlight w:val="none"/>
              </w:rPr>
              <w:t>则总烟气量为：</w:t>
            </w:r>
            <w:r>
              <w:rPr>
                <w:rFonts w:hint="eastAsia" w:ascii="Times New Roman" w:hAnsi="Times New Roman" w:eastAsia="宋体" w:cs="宋体"/>
                <w:caps w:val="0"/>
                <w:color w:val="auto"/>
                <w:sz w:val="24"/>
                <w:highlight w:val="none"/>
                <w:lang w:val="en-US" w:eastAsia="zh-CN"/>
              </w:rPr>
              <w:t>12709.8</w:t>
            </w:r>
            <w:r>
              <w:rPr>
                <w:rFonts w:ascii="Times New Roman" w:hAnsi="Times New Roman" w:eastAsia="宋体" w:cs="宋体"/>
                <w:caps w:val="0"/>
                <w:color w:val="auto"/>
                <w:sz w:val="24"/>
                <w:highlight w:val="none"/>
              </w:rPr>
              <w:t>×</w:t>
            </w:r>
            <w:r>
              <w:rPr>
                <w:rFonts w:hint="eastAsia" w:ascii="Times New Roman" w:hAnsi="Times New Roman" w:eastAsia="宋体" w:cs="宋体"/>
                <w:caps w:val="0"/>
                <w:color w:val="auto"/>
                <w:sz w:val="24"/>
                <w:highlight w:val="none"/>
                <w:lang w:val="en-US" w:eastAsia="zh-CN"/>
              </w:rPr>
              <w:t>416.34</w:t>
            </w:r>
            <w:r>
              <w:rPr>
                <w:rFonts w:ascii="Times New Roman" w:hAnsi="Times New Roman" w:eastAsia="宋体" w:cs="宋体"/>
                <w:caps w:val="0"/>
                <w:color w:val="auto"/>
                <w:sz w:val="24"/>
                <w:highlight w:val="none"/>
              </w:rPr>
              <w:t>=</w:t>
            </w:r>
            <w:r>
              <w:rPr>
                <w:rFonts w:hint="eastAsia" w:ascii="Times New Roman" w:hAnsi="Times New Roman" w:eastAsia="宋体" w:cs="宋体"/>
                <w:caps w:val="0"/>
                <w:color w:val="auto"/>
                <w:sz w:val="24"/>
                <w:highlight w:val="none"/>
                <w:lang w:val="en-US" w:eastAsia="zh-CN"/>
              </w:rPr>
              <w:t>5291598.132</w:t>
            </w:r>
            <w:r>
              <w:rPr>
                <w:rFonts w:ascii="Times New Roman" w:hAnsi="Times New Roman" w:eastAsia="宋体" w:cs="宋体"/>
                <w:caps w:val="0"/>
                <w:color w:val="auto"/>
                <w:sz w:val="24"/>
                <w:highlight w:val="none"/>
              </w:rPr>
              <w:t>Nm</w:t>
            </w:r>
            <w:r>
              <w:rPr>
                <w:rFonts w:ascii="Times New Roman" w:hAnsi="Times New Roman" w:eastAsia="宋体" w:cs="宋体"/>
                <w:caps w:val="0"/>
                <w:color w:val="auto"/>
                <w:sz w:val="24"/>
                <w:highlight w:val="none"/>
                <w:vertAlign w:val="superscript"/>
              </w:rPr>
              <w:t>3</w:t>
            </w:r>
            <w:r>
              <w:rPr>
                <w:rFonts w:ascii="Times New Roman" w:hAnsi="Times New Roman" w:eastAsia="宋体" w:cs="宋体"/>
                <w:caps w:val="0"/>
                <w:color w:val="auto"/>
                <w:sz w:val="24"/>
                <w:highlight w:val="none"/>
              </w:rPr>
              <w:t>/a（</w:t>
            </w:r>
            <w:r>
              <w:rPr>
                <w:rFonts w:hint="eastAsia" w:ascii="Times New Roman" w:hAnsi="Times New Roman" w:eastAsia="宋体" w:cs="宋体"/>
                <w:caps w:val="0"/>
                <w:color w:val="auto"/>
                <w:sz w:val="24"/>
                <w:highlight w:val="none"/>
                <w:lang w:val="en-US" w:eastAsia="zh-CN"/>
              </w:rPr>
              <w:t xml:space="preserve">881.933   </w:t>
            </w:r>
            <w:r>
              <w:rPr>
                <w:rFonts w:ascii="Times New Roman" w:hAnsi="Times New Roman" w:eastAsia="宋体" w:cs="宋体"/>
                <w:caps w:val="0"/>
                <w:color w:val="auto"/>
                <w:sz w:val="24"/>
                <w:highlight w:val="none"/>
              </w:rPr>
              <w:t>Nm</w:t>
            </w:r>
            <w:r>
              <w:rPr>
                <w:rFonts w:ascii="Times New Roman" w:hAnsi="Times New Roman" w:eastAsia="宋体" w:cs="宋体"/>
                <w:caps w:val="0"/>
                <w:color w:val="auto"/>
                <w:sz w:val="24"/>
                <w:highlight w:val="none"/>
                <w:vertAlign w:val="superscript"/>
              </w:rPr>
              <w:t>3</w:t>
            </w:r>
            <w:r>
              <w:rPr>
                <w:rFonts w:ascii="Times New Roman" w:hAnsi="Times New Roman" w:eastAsia="宋体" w:cs="宋体"/>
                <w:caps w:val="0"/>
                <w:color w:val="auto"/>
                <w:sz w:val="24"/>
                <w:highlight w:val="none"/>
              </w:rPr>
              <w:t>/h）</w:t>
            </w:r>
            <w:r>
              <w:rPr>
                <w:rFonts w:hint="eastAsia" w:ascii="Times New Roman" w:hAnsi="Times New Roman" w:eastAsia="宋体" w:cs="宋体"/>
                <w:caps w:val="0"/>
                <w:color w:val="auto"/>
                <w:sz w:val="24"/>
                <w:highlight w:val="none"/>
                <w:lang w:eastAsia="zh-CN"/>
              </w:rPr>
              <w:t>，</w:t>
            </w:r>
            <w:r>
              <w:rPr>
                <w:rFonts w:hint="eastAsia" w:ascii="Times New Roman" w:hAnsi="Times New Roman" w:eastAsia="宋体" w:cs="宋体"/>
                <w:caps w:val="0"/>
                <w:color w:val="auto"/>
                <w:sz w:val="24"/>
                <w:highlight w:val="none"/>
                <w:lang w:val="en-US" w:eastAsia="zh-CN"/>
              </w:rPr>
              <w:t>单台</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sz w:val="24"/>
                <w:highlight w:val="none"/>
                <w:lang w:val="en-US" w:eastAsia="zh-CN"/>
              </w:rPr>
              <w:t>的烟气量为2645799.066</w:t>
            </w:r>
            <w:r>
              <w:rPr>
                <w:rFonts w:ascii="Times New Roman" w:hAnsi="Times New Roman" w:eastAsia="宋体" w:cs="宋体"/>
                <w:caps w:val="0"/>
                <w:color w:val="auto"/>
                <w:sz w:val="24"/>
                <w:highlight w:val="none"/>
              </w:rPr>
              <w:t>Nm</w:t>
            </w:r>
            <w:r>
              <w:rPr>
                <w:rFonts w:ascii="Times New Roman" w:hAnsi="Times New Roman" w:eastAsia="宋体" w:cs="宋体"/>
                <w:caps w:val="0"/>
                <w:color w:val="auto"/>
                <w:sz w:val="24"/>
                <w:highlight w:val="none"/>
                <w:vertAlign w:val="superscript"/>
              </w:rPr>
              <w:t>3</w:t>
            </w:r>
            <w:r>
              <w:rPr>
                <w:rFonts w:ascii="Times New Roman" w:hAnsi="Times New Roman" w:eastAsia="宋体" w:cs="宋体"/>
                <w:caps w:val="0"/>
                <w:color w:val="auto"/>
                <w:sz w:val="24"/>
                <w:highlight w:val="none"/>
              </w:rPr>
              <w:t>/a</w:t>
            </w:r>
            <w:r>
              <w:rPr>
                <w:rFonts w:hint="eastAsia" w:ascii="Times New Roman" w:hAnsi="Times New Roman" w:eastAsia="宋体" w:cs="宋体"/>
                <w:caps w:val="0"/>
                <w:color w:val="auto"/>
                <w:sz w:val="24"/>
                <w:highlight w:val="none"/>
                <w:lang w:eastAsia="zh-CN"/>
              </w:rPr>
              <w:t>，</w:t>
            </w:r>
            <w:r>
              <w:rPr>
                <w:rFonts w:hint="eastAsia" w:ascii="Times New Roman" w:hAnsi="Times New Roman" w:eastAsia="宋体" w:cs="宋体"/>
                <w:caps w:val="0"/>
                <w:color w:val="auto"/>
                <w:sz w:val="24"/>
                <w:highlight w:val="none"/>
                <w:lang w:val="en-US" w:eastAsia="zh-CN"/>
              </w:rPr>
              <w:t>440.9665</w:t>
            </w:r>
            <w:r>
              <w:rPr>
                <w:rFonts w:ascii="Times New Roman" w:hAnsi="Times New Roman" w:eastAsia="宋体" w:cs="宋体"/>
                <w:caps w:val="0"/>
                <w:color w:val="auto"/>
                <w:sz w:val="24"/>
                <w:highlight w:val="none"/>
              </w:rPr>
              <w:t>Nm</w:t>
            </w:r>
            <w:r>
              <w:rPr>
                <w:rFonts w:ascii="Times New Roman" w:hAnsi="Times New Roman" w:eastAsia="宋体" w:cs="宋体"/>
                <w:caps w:val="0"/>
                <w:color w:val="auto"/>
                <w:sz w:val="24"/>
                <w:highlight w:val="none"/>
                <w:vertAlign w:val="superscript"/>
              </w:rPr>
              <w:t>3</w:t>
            </w:r>
            <w:r>
              <w:rPr>
                <w:rFonts w:ascii="Times New Roman" w:hAnsi="Times New Roman" w:eastAsia="宋体" w:cs="宋体"/>
                <w:caps w:val="0"/>
                <w:color w:val="auto"/>
                <w:sz w:val="24"/>
                <w:highlight w:val="none"/>
              </w:rPr>
              <w:t>/h</w:t>
            </w:r>
            <w:r>
              <w:rPr>
                <w:rFonts w:hint="eastAsia" w:ascii="Times New Roman" w:hAnsi="Times New Roman" w:eastAsia="宋体" w:cs="宋体"/>
                <w:caps w:val="0"/>
                <w:color w:val="auto"/>
                <w:sz w:val="24"/>
                <w:highlight w:val="none"/>
                <w:lang w:eastAsia="zh-CN"/>
              </w:rPr>
              <w:t>。</w:t>
            </w:r>
          </w:p>
          <w:p w14:paraId="4C796D7E">
            <w:pPr>
              <w:pStyle w:val="47"/>
              <w:rPr>
                <w:rFonts w:hint="eastAsia" w:ascii="Times New Roman" w:hAnsi="Times New Roman" w:eastAsia="宋体" w:cs="宋体"/>
                <w:caps w:val="0"/>
                <w:highlight w:val="none"/>
                <w:lang w:val="en-US" w:eastAsia="zh-CN"/>
              </w:rPr>
            </w:pPr>
            <w:r>
              <w:rPr>
                <w:rFonts w:hint="eastAsia" w:ascii="Times New Roman" w:hAnsi="Times New Roman" w:eastAsia="宋体" w:cs="宋体"/>
                <w:caps w:val="0"/>
                <w:color w:val="auto"/>
                <w:highlight w:val="none"/>
                <w:lang w:val="en-US" w:eastAsia="zh-CN"/>
              </w:rPr>
              <w:t>根据《污染源源强核算技术指南 锅炉》（</w:t>
            </w:r>
            <w:r>
              <w:rPr>
                <w:rFonts w:hint="default" w:ascii="Times New Roman" w:hAnsi="Times New Roman" w:eastAsia="宋体" w:cs="宋体"/>
                <w:caps w:val="0"/>
                <w:color w:val="auto"/>
                <w:highlight w:val="none"/>
                <w:lang w:val="en-US" w:eastAsia="zh-CN"/>
              </w:rPr>
              <w:t>HJ991-2018</w:t>
            </w:r>
            <w:r>
              <w:rPr>
                <w:rFonts w:hint="eastAsia" w:ascii="Times New Roman" w:hAnsi="Times New Roman" w:eastAsia="宋体" w:cs="宋体"/>
                <w:caps w:val="0"/>
                <w:color w:val="auto"/>
                <w:highlight w:val="none"/>
                <w:lang w:val="en-US" w:eastAsia="zh-CN"/>
              </w:rPr>
              <w:t>）源强核算方法选取优先次序为</w:t>
            </w:r>
            <w:r>
              <w:rPr>
                <w:rFonts w:hint="default" w:ascii="Times New Roman" w:hAnsi="Times New Roman" w:eastAsia="宋体" w:cs="宋体"/>
                <w:caps w:val="0"/>
                <w:color w:val="auto"/>
                <w:highlight w:val="none"/>
                <w:lang w:val="en-US" w:eastAsia="zh-CN"/>
              </w:rPr>
              <w:t>1</w:t>
            </w:r>
            <w:r>
              <w:rPr>
                <w:rFonts w:hint="eastAsia" w:ascii="Times New Roman" w:hAnsi="Times New Roman" w:eastAsia="宋体" w:cs="宋体"/>
                <w:caps w:val="0"/>
                <w:color w:val="auto"/>
                <w:highlight w:val="none"/>
                <w:lang w:val="en-US" w:eastAsia="zh-CN"/>
              </w:rPr>
              <w:t>.物料衡算法</w:t>
            </w:r>
            <w:r>
              <w:rPr>
                <w:rFonts w:hint="default" w:ascii="Times New Roman" w:hAnsi="Times New Roman" w:eastAsia="宋体" w:cs="宋体"/>
                <w:caps w:val="0"/>
                <w:color w:val="auto"/>
                <w:highlight w:val="none"/>
                <w:lang w:val="en-US" w:eastAsia="zh-CN"/>
              </w:rPr>
              <w:t>2</w:t>
            </w:r>
            <w:r>
              <w:rPr>
                <w:rFonts w:hint="eastAsia" w:ascii="Times New Roman" w:hAnsi="Times New Roman" w:eastAsia="宋体" w:cs="宋体"/>
                <w:caps w:val="0"/>
                <w:color w:val="auto"/>
                <w:highlight w:val="none"/>
                <w:lang w:val="en-US" w:eastAsia="zh-CN"/>
              </w:rPr>
              <w:t>.类比法</w:t>
            </w:r>
            <w:r>
              <w:rPr>
                <w:rFonts w:hint="default" w:ascii="Times New Roman" w:hAnsi="Times New Roman" w:eastAsia="宋体" w:cs="宋体"/>
                <w:caps w:val="0"/>
                <w:color w:val="auto"/>
                <w:highlight w:val="none"/>
                <w:lang w:val="en-US" w:eastAsia="zh-CN"/>
              </w:rPr>
              <w:t>3</w:t>
            </w:r>
            <w:r>
              <w:rPr>
                <w:rFonts w:hint="eastAsia" w:ascii="Times New Roman" w:hAnsi="Times New Roman" w:eastAsia="宋体" w:cs="宋体"/>
                <w:caps w:val="0"/>
                <w:color w:val="auto"/>
                <w:highlight w:val="none"/>
                <w:lang w:val="en-US" w:eastAsia="zh-CN"/>
              </w:rPr>
              <w:t>.产污系数法，本</w:t>
            </w:r>
            <w:r>
              <w:rPr>
                <w:rFonts w:hint="eastAsia" w:ascii="Times New Roman" w:hAnsi="Times New Roman" w:cs="宋体"/>
                <w:caps w:val="0"/>
                <w:color w:val="auto"/>
                <w:highlight w:val="none"/>
                <w:lang w:val="en-US" w:eastAsia="zh-CN"/>
              </w:rPr>
              <w:t>项目</w:t>
            </w:r>
            <w:r>
              <w:rPr>
                <w:rFonts w:hint="eastAsia" w:ascii="Times New Roman" w:hAnsi="Times New Roman" w:eastAsia="宋体" w:cs="宋体"/>
                <w:caps w:val="0"/>
                <w:color w:val="auto"/>
                <w:highlight w:val="none"/>
                <w:lang w:val="en-US" w:eastAsia="zh-CN"/>
              </w:rPr>
              <w:t>无</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highlight w:val="none"/>
                <w:lang w:val="en-US" w:eastAsia="zh-CN"/>
              </w:rPr>
              <w:t>生产商提供的氮氧化物控制保证浓度值，</w:t>
            </w:r>
            <w:r>
              <w:rPr>
                <w:rFonts w:hint="eastAsia" w:ascii="Times New Roman" w:hAnsi="Times New Roman" w:cs="宋体"/>
                <w:caps w:val="0"/>
                <w:color w:val="auto"/>
                <w:highlight w:val="none"/>
                <w:lang w:val="en-US" w:eastAsia="zh-CN"/>
              </w:rPr>
              <w:t>氮氧化物浓度产生浓度类比同类锅炉氮氧化物浓度值</w:t>
            </w:r>
            <w:r>
              <w:rPr>
                <w:rFonts w:hint="eastAsia" w:ascii="Times New Roman" w:hAnsi="Times New Roman" w:eastAsia="宋体" w:cs="宋体"/>
                <w:caps w:val="0"/>
                <w:color w:val="auto"/>
                <w:highlight w:val="none"/>
                <w:lang w:val="en-US" w:eastAsia="zh-CN"/>
              </w:rPr>
              <w:t>，本项目二氧化硫</w:t>
            </w:r>
            <w:r>
              <w:rPr>
                <w:rFonts w:hint="eastAsia" w:ascii="Times New Roman" w:hAnsi="Times New Roman" w:cs="宋体"/>
                <w:caps w:val="0"/>
                <w:color w:val="auto"/>
                <w:highlight w:val="none"/>
                <w:lang w:val="en-US" w:eastAsia="zh-CN"/>
              </w:rPr>
              <w:t>、</w:t>
            </w:r>
            <w:r>
              <w:rPr>
                <w:rFonts w:hint="eastAsia" w:ascii="Times New Roman" w:hAnsi="Times New Roman" w:eastAsia="宋体" w:cs="宋体"/>
                <w:caps w:val="0"/>
                <w:color w:val="auto"/>
                <w:highlight w:val="none"/>
                <w:lang w:val="en-US" w:eastAsia="zh-CN"/>
              </w:rPr>
              <w:t>氮氧化物采用物料衡算法核算源强，颗粒物采用产污系数法核算源强。</w:t>
            </w:r>
          </w:p>
          <w:p w14:paraId="18A9D02B">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宋体"/>
                <w:caps w:val="0"/>
                <w:color w:val="auto"/>
                <w:sz w:val="24"/>
                <w:szCs w:val="24"/>
                <w:highlight w:val="none"/>
                <w:lang w:val="en-US" w:eastAsia="zh-CN"/>
              </w:rPr>
            </w:pPr>
            <w:r>
              <w:rPr>
                <w:rFonts w:hint="eastAsia" w:ascii="Times New Roman" w:hAnsi="Times New Roman" w:eastAsia="宋体" w:cs="宋体"/>
                <w:caps w:val="0"/>
                <w:color w:val="auto"/>
                <w:sz w:val="24"/>
                <w:szCs w:val="24"/>
                <w:highlight w:val="none"/>
                <w:lang w:val="en-US" w:eastAsia="zh-CN"/>
              </w:rPr>
              <w:t>②颗粒物</w:t>
            </w:r>
          </w:p>
          <w:p w14:paraId="6C10D756">
            <w:pPr>
              <w:keepNext w:val="0"/>
              <w:keepLines w:val="0"/>
              <w:widowControl/>
              <w:suppressLineNumbers w:val="0"/>
              <w:spacing w:line="360" w:lineRule="auto"/>
              <w:ind w:firstLine="480" w:firstLineChars="200"/>
              <w:jc w:val="both"/>
              <w:rPr>
                <w:rFonts w:hint="default" w:ascii="Times New Roman" w:hAnsi="Times New Roman" w:eastAsia="宋体" w:cs="宋体"/>
                <w:caps w:val="0"/>
                <w:color w:val="auto"/>
                <w:sz w:val="24"/>
                <w:szCs w:val="24"/>
                <w:highlight w:val="none"/>
              </w:rPr>
            </w:pPr>
            <w:r>
              <w:rPr>
                <w:rFonts w:hint="eastAsia" w:ascii="Times New Roman" w:hAnsi="Times New Roman" w:eastAsia="宋体" w:cs="宋体"/>
                <w:caps w:val="0"/>
                <w:color w:val="auto"/>
                <w:sz w:val="24"/>
                <w:szCs w:val="24"/>
                <w:highlight w:val="none"/>
                <w:lang w:val="en-US" w:eastAsia="zh-CN"/>
              </w:rPr>
              <w:t>颗粒物产生量</w:t>
            </w:r>
            <w:r>
              <w:rPr>
                <w:rFonts w:hint="default" w:ascii="Times New Roman" w:hAnsi="Times New Roman" w:eastAsia="宋体" w:cs="宋体"/>
                <w:caps w:val="0"/>
                <w:color w:val="auto"/>
                <w:kern w:val="0"/>
                <w:sz w:val="24"/>
                <w:szCs w:val="24"/>
                <w:highlight w:val="none"/>
                <w:lang w:val="en-US" w:eastAsia="zh-CN" w:bidi="ar"/>
              </w:rPr>
              <w:t>根据《污染源源强核算技术指南 锅炉》（HJ991-2018）中的</w:t>
            </w:r>
            <w:r>
              <w:rPr>
                <w:rFonts w:hint="eastAsia" w:ascii="Times New Roman" w:hAnsi="Times New Roman" w:cs="宋体"/>
                <w:caps w:val="0"/>
                <w:color w:val="auto"/>
                <w:kern w:val="0"/>
                <w:sz w:val="24"/>
                <w:szCs w:val="24"/>
                <w:highlight w:val="none"/>
                <w:lang w:val="en-US" w:eastAsia="zh-CN" w:bidi="ar"/>
              </w:rPr>
              <w:t>产污系数法</w:t>
            </w:r>
            <w:r>
              <w:rPr>
                <w:rFonts w:hint="eastAsia" w:ascii="Times New Roman" w:hAnsi="Times New Roman" w:eastAsia="宋体" w:cs="宋体"/>
                <w:caps w:val="0"/>
                <w:color w:val="auto"/>
                <w:kern w:val="0"/>
                <w:sz w:val="24"/>
                <w:szCs w:val="24"/>
                <w:highlight w:val="none"/>
                <w:lang w:val="en-US" w:eastAsia="zh-CN" w:bidi="ar"/>
              </w:rPr>
              <w:t>计算</w:t>
            </w:r>
            <w:r>
              <w:rPr>
                <w:rFonts w:hint="default" w:ascii="Times New Roman" w:hAnsi="Times New Roman" w:eastAsia="宋体" w:cs="宋体"/>
                <w:caps w:val="0"/>
                <w:color w:val="auto"/>
                <w:kern w:val="0"/>
                <w:sz w:val="24"/>
                <w:szCs w:val="24"/>
                <w:highlight w:val="none"/>
                <w:lang w:val="en-US" w:eastAsia="zh-CN" w:bidi="ar"/>
              </w:rPr>
              <w:t>颗粒物的排放量，公式如下：</w:t>
            </w:r>
          </w:p>
          <w:p w14:paraId="49DB22F7">
            <w:pPr>
              <w:keepNext w:val="0"/>
              <w:keepLines w:val="0"/>
              <w:widowControl/>
              <w:suppressLineNumbers w:val="0"/>
              <w:spacing w:line="360" w:lineRule="auto"/>
              <w:jc w:val="center"/>
              <w:rPr>
                <w:rFonts w:hint="default" w:ascii="Times New Roman" w:hAnsi="Times New Roman" w:eastAsia="宋体" w:cs="宋体"/>
                <w:caps w:val="0"/>
                <w:color w:val="auto"/>
                <w:sz w:val="24"/>
                <w:szCs w:val="24"/>
                <w:highlight w:val="none"/>
              </w:rPr>
            </w:pPr>
            <w:r>
              <w:rPr>
                <w:rFonts w:hint="default" w:ascii="Times New Roman" w:hAnsi="Times New Roman" w:eastAsia="宋体" w:cs="宋体"/>
                <w:caps w:val="0"/>
                <w:color w:val="auto"/>
                <w:kern w:val="0"/>
                <w:sz w:val="24"/>
                <w:szCs w:val="24"/>
                <w:highlight w:val="none"/>
                <w:lang w:val="en-US" w:eastAsia="zh-CN" w:bidi="ar"/>
              </w:rPr>
              <w:t>EA=R×βj×</w:t>
            </w:r>
            <w:r>
              <w:rPr>
                <w:rFonts w:hint="eastAsia" w:ascii="Times New Roman" w:hAnsi="Times New Roman" w:eastAsia="宋体" w:cs="宋体"/>
                <w:caps w:val="0"/>
                <w:color w:val="auto"/>
                <w:kern w:val="0"/>
                <w:sz w:val="24"/>
                <w:szCs w:val="24"/>
                <w:highlight w:val="none"/>
                <w:lang w:val="en-US" w:eastAsia="zh-CN" w:bidi="ar"/>
              </w:rPr>
              <w:t>(</w:t>
            </w:r>
            <w:r>
              <w:rPr>
                <w:rFonts w:hint="default" w:ascii="Times New Roman" w:hAnsi="Times New Roman" w:eastAsia="宋体" w:cs="宋体"/>
                <w:caps w:val="0"/>
                <w:color w:val="auto"/>
                <w:kern w:val="0"/>
                <w:sz w:val="24"/>
                <w:szCs w:val="24"/>
                <w:highlight w:val="none"/>
                <w:lang w:val="en-US" w:eastAsia="zh-CN" w:bidi="ar"/>
              </w:rPr>
              <w:t>1-ηc/100</w:t>
            </w:r>
            <w:r>
              <w:rPr>
                <w:rFonts w:hint="eastAsia" w:ascii="Times New Roman" w:hAnsi="Times New Roman" w:eastAsia="宋体" w:cs="宋体"/>
                <w:caps w:val="0"/>
                <w:color w:val="auto"/>
                <w:kern w:val="0"/>
                <w:sz w:val="24"/>
                <w:szCs w:val="24"/>
                <w:highlight w:val="none"/>
                <w:lang w:val="en-US" w:eastAsia="zh-CN" w:bidi="ar"/>
              </w:rPr>
              <w:t>)</w:t>
            </w:r>
            <w:r>
              <w:rPr>
                <w:rFonts w:hint="default" w:ascii="Times New Roman" w:hAnsi="Times New Roman" w:eastAsia="宋体" w:cs="宋体"/>
                <w:caps w:val="0"/>
                <w:color w:val="auto"/>
                <w:kern w:val="0"/>
                <w:sz w:val="24"/>
                <w:szCs w:val="24"/>
                <w:highlight w:val="none"/>
                <w:lang w:val="en-US" w:eastAsia="zh-CN" w:bidi="ar"/>
              </w:rPr>
              <w:t>×10</w:t>
            </w:r>
            <w:r>
              <w:rPr>
                <w:rFonts w:hint="default" w:ascii="Times New Roman" w:hAnsi="Times New Roman" w:eastAsia="宋体" w:cs="宋体"/>
                <w:caps w:val="0"/>
                <w:color w:val="auto"/>
                <w:kern w:val="0"/>
                <w:sz w:val="24"/>
                <w:szCs w:val="24"/>
                <w:highlight w:val="none"/>
                <w:vertAlign w:val="superscript"/>
                <w:lang w:val="en-US" w:eastAsia="zh-CN" w:bidi="ar"/>
              </w:rPr>
              <w:t>-3</w:t>
            </w:r>
          </w:p>
          <w:p w14:paraId="4EA87B58">
            <w:pPr>
              <w:keepNext w:val="0"/>
              <w:keepLines w:val="0"/>
              <w:widowControl/>
              <w:suppressLineNumbers w:val="0"/>
              <w:spacing w:line="360" w:lineRule="auto"/>
              <w:ind w:firstLine="480" w:firstLineChars="200"/>
              <w:jc w:val="both"/>
              <w:rPr>
                <w:rFonts w:hint="default" w:ascii="Times New Roman" w:hAnsi="Times New Roman" w:eastAsia="宋体" w:cs="宋体"/>
                <w:caps w:val="0"/>
                <w:color w:val="auto"/>
                <w:sz w:val="24"/>
                <w:szCs w:val="24"/>
                <w:highlight w:val="none"/>
              </w:rPr>
            </w:pPr>
            <w:r>
              <w:rPr>
                <w:rFonts w:hint="default" w:ascii="Times New Roman" w:hAnsi="Times New Roman" w:eastAsia="宋体" w:cs="宋体"/>
                <w:caps w:val="0"/>
                <w:color w:val="auto"/>
                <w:kern w:val="0"/>
                <w:sz w:val="24"/>
                <w:szCs w:val="24"/>
                <w:highlight w:val="none"/>
                <w:lang w:val="en-US" w:eastAsia="zh-CN" w:bidi="ar"/>
              </w:rPr>
              <w:t>式中：EA——核算时间段内颗粒物（烟尘）排放量，t；</w:t>
            </w:r>
          </w:p>
          <w:p w14:paraId="70019A4D">
            <w:pPr>
              <w:keepNext w:val="0"/>
              <w:keepLines w:val="0"/>
              <w:widowControl/>
              <w:suppressLineNumbers w:val="0"/>
              <w:spacing w:line="360" w:lineRule="auto"/>
              <w:ind w:firstLine="1200" w:firstLineChars="500"/>
              <w:jc w:val="both"/>
              <w:rPr>
                <w:rFonts w:hint="default" w:ascii="Times New Roman" w:hAnsi="Times New Roman" w:eastAsia="宋体" w:cs="宋体"/>
                <w:caps w:val="0"/>
                <w:color w:val="auto"/>
                <w:sz w:val="24"/>
                <w:szCs w:val="24"/>
                <w:highlight w:val="none"/>
              </w:rPr>
            </w:pPr>
            <w:r>
              <w:rPr>
                <w:rFonts w:hint="default" w:ascii="Times New Roman" w:hAnsi="Times New Roman" w:eastAsia="宋体" w:cs="宋体"/>
                <w:caps w:val="0"/>
                <w:color w:val="auto"/>
                <w:kern w:val="0"/>
                <w:sz w:val="24"/>
                <w:szCs w:val="24"/>
                <w:highlight w:val="none"/>
                <w:lang w:val="en-US" w:eastAsia="zh-CN" w:bidi="ar"/>
              </w:rPr>
              <w:t>R——核算时间段内锅炉燃料耗量，t，本次评价为416</w:t>
            </w:r>
            <w:r>
              <w:rPr>
                <w:rFonts w:hint="eastAsia" w:ascii="Times New Roman" w:hAnsi="Times New Roman" w:eastAsia="宋体" w:cs="宋体"/>
                <w:caps w:val="0"/>
                <w:color w:val="auto"/>
                <w:kern w:val="0"/>
                <w:sz w:val="24"/>
                <w:szCs w:val="24"/>
                <w:highlight w:val="none"/>
                <w:lang w:val="en-US" w:eastAsia="zh-CN" w:bidi="ar"/>
              </w:rPr>
              <w:t>.</w:t>
            </w:r>
            <w:r>
              <w:rPr>
                <w:rFonts w:hint="default" w:ascii="Times New Roman" w:hAnsi="Times New Roman" w:eastAsia="宋体" w:cs="宋体"/>
                <w:caps w:val="0"/>
                <w:color w:val="auto"/>
                <w:kern w:val="0"/>
                <w:sz w:val="24"/>
                <w:szCs w:val="24"/>
                <w:highlight w:val="none"/>
                <w:lang w:val="en-US" w:eastAsia="zh-CN" w:bidi="ar"/>
              </w:rPr>
              <w:t>34t；</w:t>
            </w:r>
          </w:p>
          <w:p w14:paraId="0A69F2A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宋体"/>
                <w:caps w:val="0"/>
                <w:color w:val="auto"/>
                <w:kern w:val="0"/>
                <w:sz w:val="24"/>
                <w:szCs w:val="24"/>
                <w:highlight w:val="none"/>
                <w:lang w:val="en-US" w:eastAsia="zh-CN" w:bidi="ar"/>
              </w:rPr>
            </w:pPr>
            <w:r>
              <w:rPr>
                <w:rFonts w:hint="default" w:ascii="Times New Roman" w:hAnsi="Times New Roman" w:eastAsia="宋体" w:cs="宋体"/>
                <w:caps w:val="0"/>
                <w:color w:val="auto"/>
                <w:kern w:val="0"/>
                <w:sz w:val="24"/>
                <w:szCs w:val="24"/>
                <w:highlight w:val="none"/>
                <w:lang w:val="en-US" w:eastAsia="zh-CN" w:bidi="ar"/>
              </w:rPr>
              <w:t>βj——产污系数，参照生态环境部2021年6月发布的《排放源统计调查产排污核算方法和系数手册》</w:t>
            </w:r>
            <w:r>
              <w:rPr>
                <w:rFonts w:hint="eastAsia" w:ascii="Times New Roman" w:hAnsi="Times New Roman" w:eastAsia="宋体" w:cs="宋体"/>
                <w:caps w:val="0"/>
                <w:color w:val="auto"/>
                <w:kern w:val="0"/>
                <w:sz w:val="24"/>
                <w:szCs w:val="24"/>
                <w:highlight w:val="none"/>
                <w:lang w:val="en-US" w:eastAsia="zh-CN" w:bidi="ar"/>
              </w:rPr>
              <w:t>“</w:t>
            </w:r>
            <w:r>
              <w:rPr>
                <w:rFonts w:hint="default" w:ascii="Times New Roman" w:hAnsi="Times New Roman" w:eastAsia="宋体" w:cs="宋体"/>
                <w:caps w:val="0"/>
                <w:color w:val="auto"/>
                <w:kern w:val="0"/>
                <w:sz w:val="24"/>
                <w:szCs w:val="24"/>
                <w:highlight w:val="none"/>
                <w:lang w:val="en-US" w:eastAsia="zh-CN" w:bidi="ar"/>
              </w:rPr>
              <w:t>4430工业锅炉（热力生产和供应行业）产排污系数表燃油工业锅炉</w:t>
            </w:r>
            <w:r>
              <w:rPr>
                <w:rFonts w:hint="eastAsia" w:ascii="Times New Roman" w:hAnsi="Times New Roman" w:eastAsia="宋体" w:cs="宋体"/>
                <w:caps w:val="0"/>
                <w:color w:val="auto"/>
                <w:kern w:val="0"/>
                <w:sz w:val="24"/>
                <w:szCs w:val="24"/>
                <w:highlight w:val="none"/>
                <w:lang w:val="en-US" w:eastAsia="zh-CN" w:bidi="ar"/>
              </w:rPr>
              <w:t>”</w:t>
            </w:r>
            <w:r>
              <w:rPr>
                <w:rFonts w:hint="default" w:ascii="Times New Roman" w:hAnsi="Times New Roman" w:eastAsia="宋体" w:cs="宋体"/>
                <w:caps w:val="0"/>
                <w:color w:val="auto"/>
                <w:kern w:val="0"/>
                <w:sz w:val="24"/>
                <w:szCs w:val="24"/>
                <w:highlight w:val="none"/>
                <w:lang w:val="en-US" w:eastAsia="zh-CN" w:bidi="ar"/>
              </w:rPr>
              <w:t>，颗粒物的产污系数为0</w:t>
            </w:r>
            <w:r>
              <w:rPr>
                <w:rFonts w:hint="eastAsia" w:ascii="Times New Roman" w:hAnsi="Times New Roman" w:eastAsia="宋体" w:cs="宋体"/>
                <w:caps w:val="0"/>
                <w:color w:val="auto"/>
                <w:kern w:val="0"/>
                <w:sz w:val="24"/>
                <w:szCs w:val="24"/>
                <w:highlight w:val="none"/>
                <w:lang w:val="en-US" w:eastAsia="zh-CN" w:bidi="ar"/>
              </w:rPr>
              <w:t>.</w:t>
            </w:r>
            <w:r>
              <w:rPr>
                <w:rFonts w:hint="default" w:ascii="Times New Roman" w:hAnsi="Times New Roman" w:eastAsia="宋体" w:cs="宋体"/>
                <w:caps w:val="0"/>
                <w:color w:val="auto"/>
                <w:kern w:val="0"/>
                <w:sz w:val="24"/>
                <w:szCs w:val="24"/>
                <w:highlight w:val="none"/>
                <w:lang w:val="en-US" w:eastAsia="zh-CN" w:bidi="ar"/>
              </w:rPr>
              <w:t>26kg/t-原料</w:t>
            </w:r>
            <w:r>
              <w:rPr>
                <w:rFonts w:hint="eastAsia" w:ascii="Times New Roman" w:hAnsi="Times New Roman" w:eastAsia="宋体" w:cs="宋体"/>
                <w:caps w:val="0"/>
                <w:color w:val="auto"/>
                <w:kern w:val="0"/>
                <w:sz w:val="24"/>
                <w:szCs w:val="24"/>
                <w:highlight w:val="none"/>
                <w:lang w:val="en-US" w:eastAsia="zh-CN" w:bidi="ar"/>
              </w:rPr>
              <w:t>。</w:t>
            </w:r>
          </w:p>
          <w:p w14:paraId="59BA7616">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aps w:val="0"/>
                <w:color w:val="auto"/>
                <w:sz w:val="24"/>
                <w:szCs w:val="24"/>
                <w:highlight w:val="none"/>
              </w:rPr>
            </w:pPr>
            <w:r>
              <w:rPr>
                <w:rFonts w:hint="default" w:ascii="Times New Roman" w:hAnsi="Times New Roman" w:eastAsia="宋体" w:cs="宋体"/>
                <w:caps w:val="0"/>
                <w:color w:val="auto"/>
                <w:kern w:val="0"/>
                <w:sz w:val="24"/>
                <w:szCs w:val="24"/>
                <w:highlight w:val="none"/>
                <w:lang w:val="en-US" w:eastAsia="zh-CN" w:bidi="ar"/>
              </w:rPr>
              <w:t>ηc——综合除尘效率，%，本项目</w:t>
            </w:r>
            <w:r>
              <w:rPr>
                <w:rFonts w:hint="eastAsia" w:ascii="Times New Roman" w:hAnsi="Times New Roman" w:eastAsia="宋体" w:cs="宋体"/>
                <w:caps w:val="0"/>
                <w:spacing w:val="0"/>
                <w:kern w:val="0"/>
                <w:sz w:val="24"/>
                <w:szCs w:val="24"/>
                <w:highlight w:val="none"/>
                <w:lang w:val="en-US" w:eastAsia="zh-CN" w:bidi="ar"/>
              </w:rPr>
              <w:t>导热油炉</w:t>
            </w:r>
            <w:r>
              <w:rPr>
                <w:rFonts w:hint="default" w:ascii="Times New Roman" w:hAnsi="Times New Roman" w:eastAsia="宋体" w:cs="宋体"/>
                <w:caps w:val="0"/>
                <w:color w:val="auto"/>
                <w:kern w:val="0"/>
                <w:sz w:val="24"/>
                <w:szCs w:val="24"/>
                <w:highlight w:val="none"/>
                <w:lang w:val="en-US" w:eastAsia="zh-CN" w:bidi="ar"/>
              </w:rPr>
              <w:t>采取布袋除尘器对</w:t>
            </w:r>
            <w:r>
              <w:rPr>
                <w:rFonts w:hint="eastAsia" w:ascii="Times New Roman" w:hAnsi="Times New Roman" w:eastAsia="宋体" w:cs="宋体"/>
                <w:caps w:val="0"/>
                <w:spacing w:val="0"/>
                <w:kern w:val="0"/>
                <w:sz w:val="24"/>
                <w:szCs w:val="24"/>
                <w:highlight w:val="none"/>
                <w:lang w:val="en-US" w:eastAsia="zh-CN" w:bidi="ar"/>
              </w:rPr>
              <w:t>导热油炉</w:t>
            </w:r>
            <w:r>
              <w:rPr>
                <w:rFonts w:hint="default" w:ascii="Times New Roman" w:hAnsi="Times New Roman" w:eastAsia="宋体" w:cs="宋体"/>
                <w:caps w:val="0"/>
                <w:color w:val="auto"/>
                <w:kern w:val="0"/>
                <w:sz w:val="24"/>
                <w:szCs w:val="24"/>
                <w:highlight w:val="none"/>
                <w:lang w:val="en-US" w:eastAsia="zh-CN" w:bidi="ar"/>
              </w:rPr>
              <w:t>废气污染物中的颗粒物进行治理，《排放源统计调查产排污核算方法和系数手册》</w:t>
            </w:r>
            <w:r>
              <w:rPr>
                <w:rFonts w:hint="eastAsia" w:ascii="Times New Roman" w:hAnsi="Times New Roman" w:eastAsia="宋体" w:cs="宋体"/>
                <w:caps w:val="0"/>
                <w:color w:val="auto"/>
                <w:kern w:val="0"/>
                <w:sz w:val="24"/>
                <w:szCs w:val="24"/>
                <w:highlight w:val="none"/>
                <w:lang w:val="en-US" w:eastAsia="zh-CN" w:bidi="ar"/>
              </w:rPr>
              <w:t>“</w:t>
            </w:r>
            <w:r>
              <w:rPr>
                <w:rFonts w:hint="default" w:ascii="Times New Roman" w:hAnsi="Times New Roman" w:eastAsia="宋体" w:cs="宋体"/>
                <w:caps w:val="0"/>
                <w:color w:val="auto"/>
                <w:kern w:val="0"/>
                <w:sz w:val="24"/>
                <w:szCs w:val="24"/>
                <w:highlight w:val="none"/>
                <w:lang w:val="en-US" w:eastAsia="zh-CN" w:bidi="ar"/>
              </w:rPr>
              <w:t>4430工业锅炉（热力生产和供应行业）</w:t>
            </w:r>
            <w:r>
              <w:rPr>
                <w:rFonts w:hint="eastAsia" w:ascii="Times New Roman" w:hAnsi="Times New Roman" w:eastAsia="宋体" w:cs="宋体"/>
                <w:caps w:val="0"/>
                <w:color w:val="auto"/>
                <w:kern w:val="0"/>
                <w:sz w:val="24"/>
                <w:szCs w:val="24"/>
                <w:highlight w:val="none"/>
                <w:lang w:val="en-US" w:eastAsia="zh-CN" w:bidi="ar"/>
              </w:rPr>
              <w:t>袋式</w:t>
            </w:r>
            <w:r>
              <w:rPr>
                <w:rFonts w:hint="default" w:ascii="Times New Roman" w:hAnsi="Times New Roman" w:eastAsia="宋体" w:cs="宋体"/>
                <w:caps w:val="0"/>
                <w:color w:val="auto"/>
                <w:kern w:val="0"/>
                <w:sz w:val="24"/>
                <w:szCs w:val="24"/>
                <w:highlight w:val="none"/>
                <w:lang w:val="en-US" w:eastAsia="zh-CN" w:bidi="ar"/>
              </w:rPr>
              <w:t>除尘效率</w:t>
            </w:r>
            <w:r>
              <w:rPr>
                <w:rFonts w:hint="eastAsia" w:ascii="Times New Roman" w:hAnsi="Times New Roman" w:eastAsia="宋体" w:cs="宋体"/>
                <w:caps w:val="0"/>
                <w:color w:val="auto"/>
                <w:kern w:val="0"/>
                <w:sz w:val="24"/>
                <w:szCs w:val="24"/>
                <w:highlight w:val="none"/>
                <w:lang w:val="en-US" w:eastAsia="zh-CN" w:bidi="ar"/>
              </w:rPr>
              <w:t>为</w:t>
            </w:r>
            <w:r>
              <w:rPr>
                <w:rFonts w:hint="default" w:ascii="Times New Roman" w:hAnsi="Times New Roman" w:eastAsia="宋体" w:cs="宋体"/>
                <w:caps w:val="0"/>
                <w:color w:val="auto"/>
                <w:kern w:val="0"/>
                <w:sz w:val="24"/>
                <w:szCs w:val="24"/>
                <w:highlight w:val="none"/>
                <w:lang w:val="en-US" w:eastAsia="zh-CN" w:bidi="ar"/>
              </w:rPr>
              <w:t>99</w:t>
            </w:r>
            <w:r>
              <w:rPr>
                <w:rFonts w:hint="eastAsia" w:ascii="Times New Roman" w:hAnsi="Times New Roman" w:eastAsia="宋体" w:cs="宋体"/>
                <w:caps w:val="0"/>
                <w:color w:val="auto"/>
                <w:kern w:val="0"/>
                <w:sz w:val="24"/>
                <w:szCs w:val="24"/>
                <w:highlight w:val="none"/>
                <w:lang w:val="en-US" w:eastAsia="zh-CN" w:bidi="ar"/>
              </w:rPr>
              <w:t>.6</w:t>
            </w:r>
            <w:r>
              <w:rPr>
                <w:rFonts w:hint="default" w:ascii="Times New Roman" w:hAnsi="Times New Roman" w:eastAsia="宋体" w:cs="宋体"/>
                <w:caps w:val="0"/>
                <w:color w:val="auto"/>
                <w:kern w:val="0"/>
                <w:sz w:val="24"/>
                <w:szCs w:val="24"/>
                <w:highlight w:val="none"/>
                <w:lang w:val="en-US" w:eastAsia="zh-CN" w:bidi="ar"/>
              </w:rPr>
              <w:t>%；</w:t>
            </w:r>
          </w:p>
          <w:p w14:paraId="6B9DE8D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宋体"/>
                <w:caps w:val="0"/>
                <w:color w:val="auto"/>
                <w:kern w:val="0"/>
                <w:sz w:val="24"/>
                <w:szCs w:val="24"/>
                <w:highlight w:val="none"/>
                <w:lang w:val="en-US" w:eastAsia="zh-CN" w:bidi="ar"/>
              </w:rPr>
            </w:pPr>
            <w:r>
              <w:rPr>
                <w:rFonts w:hint="eastAsia" w:ascii="Times New Roman" w:hAnsi="Times New Roman" w:eastAsia="宋体" w:cs="宋体"/>
                <w:caps w:val="0"/>
                <w:color w:val="auto"/>
                <w:kern w:val="0"/>
                <w:sz w:val="24"/>
                <w:szCs w:val="24"/>
                <w:highlight w:val="none"/>
                <w:lang w:val="en-US" w:eastAsia="zh-CN" w:bidi="ar"/>
              </w:rPr>
              <w:t>本项目颗粒物产生量为0.1082t，处理后排放量为0.000433t。年运行6000h，则单台</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kern w:val="0"/>
                <w:sz w:val="24"/>
                <w:szCs w:val="24"/>
                <w:highlight w:val="none"/>
                <w:lang w:val="en-US" w:eastAsia="zh-CN" w:bidi="ar"/>
              </w:rPr>
              <w:t>排放速率为0.00003608kg/h。排放浓度0.08182mg/m</w:t>
            </w:r>
            <w:r>
              <w:rPr>
                <w:rFonts w:hint="eastAsia" w:ascii="Times New Roman" w:hAnsi="Times New Roman" w:eastAsia="宋体" w:cs="宋体"/>
                <w:caps w:val="0"/>
                <w:color w:val="auto"/>
                <w:kern w:val="0"/>
                <w:sz w:val="24"/>
                <w:szCs w:val="24"/>
                <w:highlight w:val="none"/>
                <w:vertAlign w:val="superscript"/>
                <w:lang w:val="en-US" w:eastAsia="zh-CN" w:bidi="ar"/>
              </w:rPr>
              <w:t>3</w:t>
            </w:r>
            <w:r>
              <w:rPr>
                <w:rFonts w:hint="eastAsia" w:ascii="Times New Roman" w:hAnsi="Times New Roman" w:eastAsia="宋体" w:cs="宋体"/>
                <w:caps w:val="0"/>
                <w:color w:val="auto"/>
                <w:kern w:val="0"/>
                <w:sz w:val="24"/>
                <w:szCs w:val="24"/>
                <w:highlight w:val="none"/>
                <w:lang w:val="en-US" w:eastAsia="zh-CN" w:bidi="ar"/>
              </w:rPr>
              <w:t>，</w:t>
            </w:r>
            <w:r>
              <w:rPr>
                <w:rFonts w:hint="eastAsia" w:ascii="Times New Roman" w:hAnsi="Times New Roman" w:cs="宋体"/>
                <w:caps w:val="0"/>
                <w:color w:val="auto"/>
                <w:kern w:val="0"/>
                <w:sz w:val="24"/>
                <w:szCs w:val="24"/>
                <w:highlight w:val="none"/>
                <w:lang w:val="en-US" w:eastAsia="zh-CN" w:bidi="ar"/>
              </w:rPr>
              <w:t>产生浓度为40.9133mg/m</w:t>
            </w:r>
            <w:r>
              <w:rPr>
                <w:rFonts w:hint="eastAsia" w:ascii="Times New Roman" w:hAnsi="Times New Roman" w:cs="宋体"/>
                <w:caps w:val="0"/>
                <w:color w:val="auto"/>
                <w:kern w:val="0"/>
                <w:sz w:val="24"/>
                <w:szCs w:val="24"/>
                <w:highlight w:val="none"/>
                <w:vertAlign w:val="superscript"/>
                <w:lang w:val="en-US" w:eastAsia="zh-CN" w:bidi="ar"/>
              </w:rPr>
              <w:t>3</w:t>
            </w:r>
            <w:r>
              <w:rPr>
                <w:rFonts w:hint="eastAsia" w:ascii="Times New Roman" w:hAnsi="Times New Roman" w:cs="宋体"/>
                <w:caps w:val="0"/>
                <w:color w:val="auto"/>
                <w:kern w:val="0"/>
                <w:sz w:val="24"/>
                <w:szCs w:val="24"/>
                <w:highlight w:val="none"/>
                <w:lang w:val="en-US" w:eastAsia="zh-CN" w:bidi="ar"/>
              </w:rPr>
              <w:t>，产生速率为0.018kg/h。</w:t>
            </w:r>
          </w:p>
          <w:p w14:paraId="594102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宋体"/>
                <w:caps w:val="0"/>
                <w:color w:val="auto"/>
                <w:sz w:val="24"/>
                <w:szCs w:val="22"/>
                <w:highlight w:val="none"/>
                <w:lang w:val="en-US" w:eastAsia="zh-CN"/>
              </w:rPr>
            </w:pPr>
            <w:r>
              <w:rPr>
                <w:rFonts w:hint="eastAsia" w:ascii="Times New Roman" w:hAnsi="Times New Roman" w:eastAsia="宋体" w:cs="宋体"/>
                <w:caps w:val="0"/>
                <w:color w:val="auto"/>
                <w:sz w:val="24"/>
                <w:szCs w:val="22"/>
                <w:highlight w:val="none"/>
                <w:lang w:val="en-US" w:eastAsia="zh-CN"/>
              </w:rPr>
              <w:t>③氮氧化物</w:t>
            </w:r>
          </w:p>
          <w:p w14:paraId="689D424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aps w:val="0"/>
                <w:color w:val="auto"/>
                <w:sz w:val="24"/>
                <w:szCs w:val="22"/>
                <w:highlight w:val="none"/>
                <w:lang w:val="en-US" w:eastAsia="zh-CN"/>
              </w:rPr>
            </w:pPr>
            <w:r>
              <w:rPr>
                <w:rFonts w:hint="eastAsia" w:ascii="Times New Roman" w:hAnsi="Times New Roman" w:eastAsia="宋体" w:cs="宋体"/>
                <w:caps w:val="0"/>
                <w:color w:val="auto"/>
                <w:sz w:val="24"/>
                <w:szCs w:val="22"/>
                <w:highlight w:val="none"/>
                <w:lang w:val="en-US" w:eastAsia="zh-CN"/>
              </w:rPr>
              <w:t>本项目氮氧化物排放量按照公式计算：</w:t>
            </w:r>
          </w:p>
          <w:p w14:paraId="2AED5EAA">
            <w:pPr>
              <w:pStyle w:val="2"/>
              <w:rPr>
                <w:rFonts w:hint="eastAsia" w:ascii="Times New Roman" w:hAnsi="Times New Roman" w:eastAsia="宋体" w:cs="宋体"/>
                <w:caps w:val="0"/>
                <w:highlight w:val="none"/>
                <w:lang w:val="en-US" w:eastAsia="zh-CN"/>
              </w:rPr>
            </w:pPr>
          </w:p>
          <w:p w14:paraId="6E242AD4">
            <w:pPr>
              <w:pStyle w:val="11"/>
              <w:ind w:left="0" w:leftChars="0" w:firstLine="0" w:firstLineChars="0"/>
              <w:jc w:val="center"/>
              <w:rPr>
                <w:rFonts w:hint="default" w:ascii="Times New Roman" w:hAnsi="Times New Roman" w:eastAsia="宋体" w:cs="宋体"/>
                <w:caps w:val="0"/>
                <w:color w:val="auto"/>
                <w:highlight w:val="none"/>
                <w:lang w:val="en-US" w:eastAsia="zh-CN"/>
              </w:rPr>
            </w:pPr>
            <w:r>
              <w:rPr>
                <w:rFonts w:hint="default" w:ascii="Times New Roman" w:hAnsi="Times New Roman" w:eastAsia="宋体" w:cs="宋体"/>
                <w:caps w:val="0"/>
                <w:color w:val="auto"/>
                <w:position w:val="-28"/>
                <w:highlight w:val="none"/>
                <w:lang w:val="en-US" w:eastAsia="zh-CN"/>
              </w:rPr>
              <w:object>
                <v:shape id="_x0000_i1027" o:spt="75" type="#_x0000_t75" style="height:34pt;width:9pt;" o:ole="t" filled="f" o:preferrelative="t" stroked="f" coordsize="21600,21600">
                  <v:path/>
                  <v:fill on="f" focussize="0,0"/>
                  <v:stroke on="f"/>
                  <v:imagedata r:id="rId27" o:title=""/>
                  <o:lock v:ext="edit" aspectratio="t"/>
                  <w10:wrap type="none"/>
                  <w10:anchorlock/>
                </v:shape>
                <o:OLEObject Type="Embed" ProgID="Equation.KSEE3" ShapeID="_x0000_i1027" DrawAspect="Content" ObjectID="_1468075727" r:id="rId26">
                  <o:LockedField>false</o:LockedField>
                </o:OLEObject>
              </w:object>
            </w:r>
            <w:r>
              <w:rPr>
                <w:rFonts w:ascii="Times New Roman" w:hAnsi="Times New Roman" w:eastAsia="宋体" w:cs="宋体"/>
                <w:caps w:val="0"/>
                <w:color w:val="auto"/>
                <w:highlight w:val="none"/>
              </w:rPr>
              <w:drawing>
                <wp:anchor distT="0" distB="0" distL="114300" distR="114300" simplePos="0" relativeHeight="251669504" behindDoc="0" locked="0" layoutInCell="1" allowOverlap="1">
                  <wp:simplePos x="0" y="0"/>
                  <wp:positionH relativeFrom="column">
                    <wp:posOffset>1459865</wp:posOffset>
                  </wp:positionH>
                  <wp:positionV relativeFrom="paragraph">
                    <wp:posOffset>-173355</wp:posOffset>
                  </wp:positionV>
                  <wp:extent cx="2105025" cy="428625"/>
                  <wp:effectExtent l="0" t="0" r="0" b="8890"/>
                  <wp:wrapNone/>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1"/>
                          </pic:cNvPicPr>
                        </pic:nvPicPr>
                        <pic:blipFill>
                          <a:blip r:embed="rId28"/>
                          <a:stretch>
                            <a:fillRect/>
                          </a:stretch>
                        </pic:blipFill>
                        <pic:spPr>
                          <a:xfrm>
                            <a:off x="0" y="0"/>
                            <a:ext cx="2105025" cy="428625"/>
                          </a:xfrm>
                          <a:prstGeom prst="rect">
                            <a:avLst/>
                          </a:prstGeom>
                          <a:noFill/>
                          <a:ln>
                            <a:noFill/>
                          </a:ln>
                        </pic:spPr>
                      </pic:pic>
                    </a:graphicData>
                  </a:graphic>
                </wp:anchor>
              </w:drawing>
            </w:r>
          </w:p>
          <w:p w14:paraId="11F63D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aps w:val="0"/>
                <w:color w:val="auto"/>
                <w:sz w:val="24"/>
                <w:szCs w:val="22"/>
                <w:highlight w:val="none"/>
                <w:vertAlign w:val="baseline"/>
                <w:lang w:val="en-US" w:eastAsia="zh-CN"/>
              </w:rPr>
            </w:pPr>
            <w:r>
              <w:rPr>
                <w:rFonts w:hint="eastAsia" w:ascii="Times New Roman" w:hAnsi="Times New Roman" w:eastAsia="宋体" w:cs="宋体"/>
                <w:caps w:val="0"/>
                <w:color w:val="auto"/>
                <w:sz w:val="24"/>
                <w:szCs w:val="22"/>
                <w:highlight w:val="none"/>
                <w:lang w:val="en-US" w:eastAsia="zh-CN"/>
              </w:rPr>
              <w:t>式中：</w:t>
            </w:r>
            <w:r>
              <w:rPr>
                <w:rFonts w:hint="eastAsia" w:ascii="Times New Roman" w:hAnsi="Times New Roman" w:eastAsia="宋体" w:cs="宋体"/>
                <w:i/>
                <w:iCs/>
                <w:caps w:val="0"/>
                <w:color w:val="auto"/>
                <w:sz w:val="24"/>
                <w:szCs w:val="22"/>
                <w:highlight w:val="none"/>
                <w:lang w:val="en-US" w:eastAsia="zh-CN"/>
              </w:rPr>
              <w:t>E</w:t>
            </w:r>
            <w:r>
              <w:rPr>
                <w:rFonts w:hint="eastAsia" w:ascii="Times New Roman" w:hAnsi="Times New Roman" w:eastAsia="宋体" w:cs="宋体"/>
                <w:caps w:val="0"/>
                <w:color w:val="auto"/>
                <w:sz w:val="24"/>
                <w:szCs w:val="22"/>
                <w:highlight w:val="none"/>
                <w:vertAlign w:val="subscript"/>
                <w:lang w:val="en-US" w:eastAsia="zh-CN"/>
              </w:rPr>
              <w:t>NOx</w:t>
            </w:r>
            <w:r>
              <w:rPr>
                <w:rFonts w:hint="eastAsia" w:ascii="Times New Roman" w:hAnsi="Times New Roman" w:eastAsia="宋体" w:cs="宋体"/>
                <w:caps w:val="0"/>
                <w:color w:val="auto"/>
                <w:sz w:val="24"/>
                <w:szCs w:val="22"/>
                <w:highlight w:val="none"/>
                <w:vertAlign w:val="baseline"/>
                <w:lang w:val="en-US" w:eastAsia="zh-CN"/>
              </w:rPr>
              <w:t>——核算时间段内氮氧化物排放量，t；</w:t>
            </w:r>
          </w:p>
          <w:p w14:paraId="2F2A75F3">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宋体"/>
                <w:caps w:val="0"/>
                <w:color w:val="auto"/>
                <w:highlight w:val="none"/>
                <w:lang w:val="en-US" w:eastAsia="zh-CN"/>
              </w:rPr>
            </w:pPr>
            <w:r>
              <w:rPr>
                <w:rFonts w:hint="default" w:ascii="Times New Roman" w:hAnsi="Times New Roman" w:eastAsia="宋体" w:cs="宋体"/>
                <w:caps w:val="0"/>
                <w:color w:val="auto"/>
                <w:position w:val="-12"/>
                <w:sz w:val="24"/>
                <w:szCs w:val="22"/>
                <w:highlight w:val="none"/>
                <w:lang w:val="en-US" w:eastAsia="zh-CN"/>
              </w:rPr>
              <w:object>
                <v:shape id="_x0000_i1028" o:spt="75" type="#_x0000_t75" style="height:18pt;width:24.95pt;" o:ole="t" filled="f" o:preferrelative="t" stroked="f" coordsize="21600,21600">
                  <v:path/>
                  <v:fill on="f" focussize="0,0"/>
                  <v:stroke on="f"/>
                  <v:imagedata r:id="rId30" o:title=""/>
                  <o:lock v:ext="edit" aspectratio="t"/>
                  <w10:wrap type="none"/>
                  <w10:anchorlock/>
                </v:shape>
                <o:OLEObject Type="Embed" ProgID="Equation.KSEE3" ShapeID="_x0000_i1028" DrawAspect="Content" ObjectID="_1468075728" r:id="rId29">
                  <o:LockedField>false</o:LockedField>
                </o:OLEObject>
              </w:object>
            </w:r>
            <w:r>
              <w:rPr>
                <w:rFonts w:hint="eastAsia" w:ascii="Times New Roman" w:hAnsi="Times New Roman" w:eastAsia="宋体" w:cs="宋体"/>
                <w:caps w:val="0"/>
                <w:color w:val="auto"/>
                <w:sz w:val="24"/>
                <w:szCs w:val="22"/>
                <w:highlight w:val="none"/>
                <w:lang w:val="en-US" w:eastAsia="zh-CN"/>
              </w:rPr>
              <w:t>——锅炉炉膛出口氮氧化物质量浓度，mg/m</w:t>
            </w:r>
            <w:r>
              <w:rPr>
                <w:rFonts w:hint="eastAsia" w:ascii="Times New Roman" w:hAnsi="Times New Roman" w:eastAsia="宋体" w:cs="宋体"/>
                <w:caps w:val="0"/>
                <w:color w:val="auto"/>
                <w:sz w:val="24"/>
                <w:szCs w:val="22"/>
                <w:highlight w:val="none"/>
                <w:vertAlign w:val="superscript"/>
                <w:lang w:val="en-US" w:eastAsia="zh-CN"/>
              </w:rPr>
              <w:t>3</w:t>
            </w:r>
            <w:r>
              <w:rPr>
                <w:rFonts w:hint="eastAsia" w:ascii="Times New Roman" w:hAnsi="Times New Roman" w:eastAsia="宋体" w:cs="宋体"/>
                <w:caps w:val="0"/>
                <w:color w:val="auto"/>
                <w:sz w:val="24"/>
                <w:szCs w:val="22"/>
                <w:highlight w:val="none"/>
                <w:vertAlign w:val="baseline"/>
                <w:lang w:val="en-US" w:eastAsia="zh-CN"/>
              </w:rPr>
              <w:t>，</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sz w:val="24"/>
                <w:szCs w:val="22"/>
                <w:highlight w:val="none"/>
                <w:vertAlign w:val="baseline"/>
                <w:lang w:val="en-US" w:eastAsia="zh-CN"/>
              </w:rPr>
              <w:t>采用低氮燃烧装置，</w:t>
            </w:r>
            <w:r>
              <w:rPr>
                <w:rFonts w:hint="eastAsia" w:ascii="Times New Roman" w:hAnsi="Times New Roman" w:eastAsia="宋体" w:cs="宋体"/>
                <w:caps w:val="0"/>
                <w:color w:val="auto"/>
                <w:spacing w:val="0"/>
                <w:sz w:val="24"/>
                <w:szCs w:val="24"/>
                <w:highlight w:val="none"/>
                <w:lang w:val="en-US" w:eastAsia="zh-CN"/>
              </w:rPr>
              <w:t>低氮燃烧器工作原理为把一个火焰分成数个小火焰，由于小火焰散热面积大，火焰温度较低，使“热反应NO”有所下降。此外，火焰小缩短了氧、氮等气体在火焰中的停留时间，对“热反应NO”和“燃料NO”都有明显的抑制作用。烟气在高温区停留时间是影响NOx生成量的主要因素之一，改善燃烧与空气的混合，能够使火焰面的厚度减薄，在燃烧负荷不变的情况下，烟气在火焰面即高温区内停留时间缩短，因而使NOx的生成量降低。低氮燃烧器不具备脱硝功能，因此本项目低氮燃烧器脱硝效率按0计算。</w:t>
            </w:r>
            <w:r>
              <w:rPr>
                <w:rFonts w:hint="eastAsia" w:ascii="Times New Roman" w:hAnsi="Times New Roman" w:eastAsia="宋体" w:cs="宋体"/>
                <w:caps w:val="0"/>
                <w:color w:val="auto"/>
                <w:sz w:val="24"/>
                <w:szCs w:val="22"/>
                <w:highlight w:val="none"/>
                <w:vertAlign w:val="baseline"/>
                <w:lang w:val="en-US" w:eastAsia="zh-CN"/>
              </w:rPr>
              <w:t>可从源头减少氮氧化物产生，</w:t>
            </w:r>
            <w:r>
              <w:rPr>
                <w:rFonts w:hint="eastAsia" w:ascii="Times New Roman" w:hAnsi="Times New Roman" w:eastAsia="宋体" w:cs="宋体"/>
                <w:caps w:val="0"/>
                <w:color w:val="auto"/>
                <w:spacing w:val="0"/>
                <w:sz w:val="24"/>
                <w:szCs w:val="24"/>
                <w:highlight w:val="none"/>
                <w:lang w:val="en-US" w:eastAsia="zh-CN"/>
              </w:rPr>
              <w:t>低氮燃烧器技术能将氮氧化物产生浓度降低50%，本项目根据指南表B.4取值，项目使用燃料0号柴油，属轻质柴油燃料，因此氮氧化物产生浓度取中间值为400mg/m</w:t>
            </w:r>
            <w:r>
              <w:rPr>
                <w:rFonts w:hint="eastAsia" w:ascii="Times New Roman" w:hAnsi="Times New Roman" w:eastAsia="宋体" w:cs="宋体"/>
                <w:caps w:val="0"/>
                <w:color w:val="auto"/>
                <w:spacing w:val="0"/>
                <w:sz w:val="24"/>
                <w:szCs w:val="24"/>
                <w:highlight w:val="none"/>
                <w:vertAlign w:val="superscript"/>
                <w:lang w:val="en-US" w:eastAsia="zh-CN"/>
              </w:rPr>
              <w:t>3</w:t>
            </w:r>
            <w:r>
              <w:rPr>
                <w:rFonts w:hint="eastAsia" w:ascii="Times New Roman" w:hAnsi="Times New Roman" w:eastAsia="宋体" w:cs="宋体"/>
                <w:caps w:val="0"/>
                <w:color w:val="auto"/>
                <w:spacing w:val="0"/>
                <w:sz w:val="24"/>
                <w:szCs w:val="24"/>
                <w:highlight w:val="none"/>
                <w:lang w:val="en-US" w:eastAsia="zh-CN"/>
              </w:rPr>
              <w:t>，经低氮燃烧方式处理后，</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spacing w:val="0"/>
                <w:sz w:val="24"/>
                <w:szCs w:val="24"/>
                <w:highlight w:val="none"/>
                <w:lang w:val="en-US" w:eastAsia="zh-CN"/>
              </w:rPr>
              <w:t>炉膛出口氮氧化物质量浓度为200mg/m</w:t>
            </w:r>
            <w:r>
              <w:rPr>
                <w:rFonts w:hint="eastAsia" w:ascii="Times New Roman" w:hAnsi="Times New Roman" w:eastAsia="宋体" w:cs="宋体"/>
                <w:caps w:val="0"/>
                <w:color w:val="auto"/>
                <w:spacing w:val="0"/>
                <w:sz w:val="24"/>
                <w:szCs w:val="24"/>
                <w:highlight w:val="none"/>
                <w:vertAlign w:val="superscript"/>
                <w:lang w:val="en-US" w:eastAsia="zh-CN"/>
              </w:rPr>
              <w:t>3</w:t>
            </w:r>
            <w:r>
              <w:rPr>
                <w:rFonts w:hint="eastAsia" w:ascii="Times New Roman" w:hAnsi="Times New Roman" w:eastAsia="宋体" w:cs="宋体"/>
                <w:caps w:val="0"/>
                <w:color w:val="auto"/>
                <w:sz w:val="24"/>
                <w:szCs w:val="22"/>
                <w:highlight w:val="none"/>
                <w:vertAlign w:val="baseline"/>
                <w:lang w:val="en-US" w:eastAsia="zh-CN"/>
              </w:rPr>
              <w:t>；</w:t>
            </w:r>
          </w:p>
          <w:p w14:paraId="235AE2DB">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宋体"/>
                <w:caps w:val="0"/>
                <w:color w:val="auto"/>
                <w:highlight w:val="none"/>
                <w:lang w:val="en-US" w:eastAsia="zh-CN"/>
              </w:rPr>
            </w:pPr>
            <w:r>
              <w:rPr>
                <w:rFonts w:hint="eastAsia" w:ascii="Times New Roman" w:hAnsi="Times New Roman" w:eastAsia="宋体" w:cs="宋体"/>
                <w:caps w:val="0"/>
                <w:color w:val="auto"/>
                <w:sz w:val="24"/>
                <w:szCs w:val="22"/>
                <w:highlight w:val="none"/>
                <w:lang w:val="en-US" w:eastAsia="zh-CN"/>
              </w:rPr>
              <w:t>Q——核算时段内标态干烟气排放量，m</w:t>
            </w:r>
            <w:r>
              <w:rPr>
                <w:rFonts w:hint="eastAsia" w:ascii="Times New Roman" w:hAnsi="Times New Roman" w:eastAsia="宋体" w:cs="宋体"/>
                <w:caps w:val="0"/>
                <w:color w:val="auto"/>
                <w:sz w:val="24"/>
                <w:szCs w:val="22"/>
                <w:highlight w:val="none"/>
                <w:vertAlign w:val="superscript"/>
                <w:lang w:val="en-US" w:eastAsia="zh-CN"/>
              </w:rPr>
              <w:t>3</w:t>
            </w:r>
            <w:r>
              <w:rPr>
                <w:rFonts w:hint="eastAsia" w:ascii="Times New Roman" w:hAnsi="Times New Roman" w:eastAsia="宋体" w:cs="宋体"/>
                <w:caps w:val="0"/>
                <w:color w:val="auto"/>
                <w:sz w:val="24"/>
                <w:szCs w:val="22"/>
                <w:highlight w:val="none"/>
                <w:vertAlign w:val="baseline"/>
                <w:lang w:val="en-US" w:eastAsia="zh-CN"/>
              </w:rPr>
              <w:t>，取</w:t>
            </w:r>
            <w:r>
              <w:rPr>
                <w:rFonts w:hint="eastAsia" w:ascii="Times New Roman" w:hAnsi="Times New Roman" w:eastAsia="宋体" w:cs="宋体"/>
                <w:caps w:val="0"/>
                <w:color w:val="auto"/>
                <w:sz w:val="24"/>
                <w:highlight w:val="none"/>
                <w:lang w:val="en-US" w:eastAsia="zh-CN"/>
              </w:rPr>
              <w:t>2645799.066</w:t>
            </w:r>
            <w:r>
              <w:rPr>
                <w:rFonts w:ascii="Times New Roman" w:hAnsi="Times New Roman" w:eastAsia="宋体" w:cs="宋体"/>
                <w:caps w:val="0"/>
                <w:color w:val="auto"/>
                <w:sz w:val="24"/>
                <w:highlight w:val="none"/>
              </w:rPr>
              <w:t>Nm</w:t>
            </w:r>
            <w:r>
              <w:rPr>
                <w:rFonts w:ascii="Times New Roman" w:hAnsi="Times New Roman" w:eastAsia="宋体" w:cs="宋体"/>
                <w:caps w:val="0"/>
                <w:color w:val="auto"/>
                <w:sz w:val="24"/>
                <w:highlight w:val="none"/>
                <w:vertAlign w:val="superscript"/>
              </w:rPr>
              <w:t>3</w:t>
            </w:r>
            <w:r>
              <w:rPr>
                <w:rFonts w:ascii="Times New Roman" w:hAnsi="Times New Roman" w:eastAsia="宋体" w:cs="宋体"/>
                <w:caps w:val="0"/>
                <w:color w:val="auto"/>
                <w:sz w:val="24"/>
                <w:highlight w:val="none"/>
              </w:rPr>
              <w:t>/a</w:t>
            </w:r>
            <w:r>
              <w:rPr>
                <w:rFonts w:hint="eastAsia" w:ascii="Times New Roman" w:hAnsi="Times New Roman" w:eastAsia="宋体" w:cs="宋体"/>
                <w:caps w:val="0"/>
                <w:color w:val="auto"/>
                <w:sz w:val="24"/>
                <w:szCs w:val="22"/>
                <w:highlight w:val="none"/>
                <w:vertAlign w:val="baseline"/>
                <w:lang w:val="en-US" w:eastAsia="zh-CN"/>
              </w:rPr>
              <w:t>；</w:t>
            </w:r>
          </w:p>
          <w:p w14:paraId="7B9E3A1A">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宋体"/>
                <w:caps w:val="0"/>
                <w:color w:val="auto"/>
                <w:sz w:val="24"/>
                <w:szCs w:val="22"/>
                <w:highlight w:val="none"/>
                <w:lang w:val="en-US" w:eastAsia="zh-CN"/>
              </w:rPr>
            </w:pPr>
            <w:r>
              <w:rPr>
                <w:rFonts w:hint="default" w:ascii="Times New Roman" w:hAnsi="Times New Roman" w:eastAsia="宋体" w:cs="宋体"/>
                <w:caps w:val="0"/>
                <w:color w:val="auto"/>
                <w:position w:val="-12"/>
                <w:sz w:val="24"/>
                <w:szCs w:val="22"/>
                <w:highlight w:val="none"/>
                <w:lang w:val="en-US" w:eastAsia="zh-CN"/>
              </w:rPr>
              <w:object>
                <v:shape id="_x0000_i1029" o:spt="75" type="#_x0000_t75" style="height:18pt;width:24pt;" o:ole="t" filled="f" o:preferrelative="t" stroked="f" coordsize="21600,21600">
                  <v:path/>
                  <v:fill on="f" focussize="0,0"/>
                  <v:stroke on="f"/>
                  <v:imagedata r:id="rId32" o:title=""/>
                  <o:lock v:ext="edit" aspectratio="t"/>
                  <w10:wrap type="none"/>
                  <w10:anchorlock/>
                </v:shape>
                <o:OLEObject Type="Embed" ProgID="Equation.KSEE3" ShapeID="_x0000_i1029" DrawAspect="Content" ObjectID="_1468075729" r:id="rId31">
                  <o:LockedField>false</o:LockedField>
                </o:OLEObject>
              </w:object>
            </w:r>
            <w:r>
              <w:rPr>
                <w:rFonts w:hint="eastAsia" w:ascii="Times New Roman" w:hAnsi="Times New Roman" w:eastAsia="宋体" w:cs="宋体"/>
                <w:caps w:val="0"/>
                <w:color w:val="auto"/>
                <w:sz w:val="24"/>
                <w:szCs w:val="22"/>
                <w:highlight w:val="none"/>
                <w:lang w:val="en-US" w:eastAsia="zh-CN"/>
              </w:rPr>
              <w:t>——脱硝效率，%，低氮燃烧器属从源头减少氮氧化物的产生量，不具备脱硝功能，因此脱硝效率取0。</w:t>
            </w:r>
          </w:p>
          <w:p w14:paraId="34F6316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宋体"/>
                <w:caps w:val="0"/>
                <w:color w:val="auto"/>
                <w:sz w:val="24"/>
                <w:szCs w:val="24"/>
                <w:highlight w:val="none"/>
                <w:lang w:val="en-US"/>
              </w:rPr>
            </w:pPr>
            <w:r>
              <w:rPr>
                <w:rFonts w:ascii="Times New Roman" w:hAnsi="Times New Roman" w:eastAsia="宋体" w:cs="宋体"/>
                <w:caps w:val="0"/>
                <w:color w:val="auto"/>
                <w:sz w:val="24"/>
                <w:highlight w:val="none"/>
              </w:rPr>
              <w:t>根据上式计算，本项目氮氧化物排放量为</w:t>
            </w:r>
            <w:r>
              <w:rPr>
                <w:rFonts w:hint="eastAsia" w:ascii="Times New Roman" w:hAnsi="Times New Roman" w:eastAsia="宋体" w:cs="宋体"/>
                <w:caps w:val="0"/>
                <w:color w:val="auto"/>
                <w:sz w:val="24"/>
                <w:highlight w:val="none"/>
                <w:lang w:val="en-US" w:eastAsia="zh-CN"/>
              </w:rPr>
              <w:t>0.1763</w:t>
            </w:r>
            <w:r>
              <w:rPr>
                <w:rFonts w:ascii="Times New Roman" w:hAnsi="Times New Roman" w:eastAsia="宋体" w:cs="宋体"/>
                <w:caps w:val="0"/>
                <w:color w:val="auto"/>
                <w:sz w:val="24"/>
                <w:highlight w:val="none"/>
              </w:rPr>
              <w:t>kg/h，</w:t>
            </w:r>
            <w:r>
              <w:rPr>
                <w:rFonts w:hint="eastAsia" w:ascii="Times New Roman" w:hAnsi="Times New Roman" w:eastAsia="宋体" w:cs="宋体"/>
                <w:caps w:val="0"/>
                <w:color w:val="auto"/>
                <w:sz w:val="24"/>
                <w:highlight w:val="none"/>
                <w:lang w:val="en-US" w:eastAsia="zh-CN"/>
              </w:rPr>
              <w:t>1.058</w:t>
            </w:r>
            <w:r>
              <w:rPr>
                <w:rFonts w:ascii="Times New Roman" w:hAnsi="Times New Roman" w:eastAsia="宋体" w:cs="宋体"/>
                <w:caps w:val="0"/>
                <w:color w:val="auto"/>
                <w:sz w:val="24"/>
                <w:highlight w:val="none"/>
              </w:rPr>
              <w:t>t/a</w:t>
            </w:r>
            <w:r>
              <w:rPr>
                <w:rFonts w:hint="eastAsia" w:ascii="Times New Roman" w:hAnsi="Times New Roman" w:eastAsia="宋体" w:cs="宋体"/>
                <w:caps w:val="0"/>
                <w:color w:val="auto"/>
                <w:sz w:val="24"/>
                <w:szCs w:val="22"/>
                <w:highlight w:val="none"/>
                <w:lang w:val="en-US" w:eastAsia="zh-CN"/>
              </w:rPr>
              <w:t>。排放浓度为200mg/m</w:t>
            </w:r>
            <w:r>
              <w:rPr>
                <w:rFonts w:hint="eastAsia" w:ascii="Times New Roman" w:hAnsi="Times New Roman" w:eastAsia="宋体" w:cs="宋体"/>
                <w:caps w:val="0"/>
                <w:color w:val="auto"/>
                <w:sz w:val="24"/>
                <w:szCs w:val="22"/>
                <w:highlight w:val="none"/>
                <w:vertAlign w:val="superscript"/>
                <w:lang w:val="en-US" w:eastAsia="zh-CN"/>
              </w:rPr>
              <w:t>3</w:t>
            </w:r>
            <w:r>
              <w:rPr>
                <w:rFonts w:hint="eastAsia" w:ascii="Times New Roman" w:hAnsi="Times New Roman" w:eastAsia="宋体" w:cs="宋体"/>
                <w:caps w:val="0"/>
                <w:color w:val="auto"/>
                <w:sz w:val="24"/>
                <w:szCs w:val="22"/>
                <w:highlight w:val="none"/>
                <w:lang w:val="en-US" w:eastAsia="zh-CN"/>
              </w:rPr>
              <w:t>。则单台</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sz w:val="24"/>
                <w:szCs w:val="22"/>
                <w:highlight w:val="none"/>
                <w:lang w:val="en-US" w:eastAsia="zh-CN"/>
              </w:rPr>
              <w:t>的排放速率为0.08815kg/h，排放量为0.529t/a。</w:t>
            </w:r>
          </w:p>
          <w:p w14:paraId="180461C7">
            <w:pPr>
              <w:pStyle w:val="27"/>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宋体"/>
                <w:caps w:val="0"/>
                <w:color w:val="auto"/>
                <w:sz w:val="24"/>
                <w:szCs w:val="24"/>
                <w:highlight w:val="none"/>
                <w:lang w:val="en-US" w:eastAsia="zh-CN"/>
              </w:rPr>
            </w:pPr>
            <w:r>
              <w:rPr>
                <w:rFonts w:hint="eastAsia" w:ascii="Times New Roman" w:hAnsi="Times New Roman" w:eastAsia="宋体" w:cs="宋体"/>
                <w:caps w:val="0"/>
                <w:color w:val="auto"/>
                <w:sz w:val="24"/>
                <w:szCs w:val="24"/>
                <w:highlight w:val="none"/>
                <w:lang w:val="en-US" w:eastAsia="zh-CN"/>
              </w:rPr>
              <w:t>④二氧化硫</w:t>
            </w:r>
          </w:p>
          <w:p w14:paraId="2AE6D1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宋体"/>
                <w:caps w:val="0"/>
                <w:color w:val="auto"/>
                <w:sz w:val="24"/>
                <w:szCs w:val="22"/>
                <w:highlight w:val="none"/>
                <w:lang w:val="en-US" w:eastAsia="zh-CN"/>
              </w:rPr>
            </w:pPr>
            <w:r>
              <w:rPr>
                <w:rFonts w:hint="eastAsia" w:ascii="Times New Roman" w:hAnsi="Times New Roman" w:eastAsia="宋体" w:cs="宋体"/>
                <w:caps w:val="0"/>
                <w:color w:val="auto"/>
                <w:sz w:val="24"/>
                <w:szCs w:val="22"/>
                <w:highlight w:val="none"/>
                <w:lang w:val="en-US" w:eastAsia="zh-CN"/>
              </w:rPr>
              <w:t>二氧化硫按照以下公式计算：</w:t>
            </w:r>
          </w:p>
          <w:p w14:paraId="16C4B77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宋体"/>
                <w:caps w:val="0"/>
                <w:color w:val="auto"/>
                <w:sz w:val="24"/>
                <w:szCs w:val="22"/>
                <w:highlight w:val="none"/>
                <w:lang w:val="en-US" w:eastAsia="zh-CN"/>
              </w:rPr>
            </w:pPr>
            <w:r>
              <w:rPr>
                <w:rFonts w:hint="default" w:ascii="Times New Roman" w:hAnsi="Times New Roman" w:eastAsia="宋体" w:cs="宋体"/>
                <w:caps w:val="0"/>
                <w:color w:val="auto"/>
                <w:position w:val="-28"/>
                <w:sz w:val="24"/>
                <w:szCs w:val="22"/>
                <w:highlight w:val="none"/>
                <w:lang w:val="en-US" w:eastAsia="zh-CN"/>
              </w:rPr>
              <w:object>
                <v:shape id="_x0000_i1030" o:spt="75" type="#_x0000_t75" style="height:34pt;width:203pt;" o:ole="t" filled="f" o:preferrelative="t" stroked="f" coordsize="21600,21600">
                  <v:path/>
                  <v:fill on="f" focussize="0,0"/>
                  <v:stroke on="f"/>
                  <v:imagedata r:id="rId34" o:title=""/>
                  <o:lock v:ext="edit" aspectratio="t"/>
                  <w10:wrap type="none"/>
                  <w10:anchorlock/>
                </v:shape>
                <o:OLEObject Type="Embed" ProgID="Equation.KSEE3" ShapeID="_x0000_i1030" DrawAspect="Content" ObjectID="_1468075730" r:id="rId33">
                  <o:LockedField>false</o:LockedField>
                </o:OLEObject>
              </w:object>
            </w:r>
          </w:p>
          <w:p w14:paraId="218848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宋体"/>
                <w:caps w:val="0"/>
                <w:color w:val="auto"/>
                <w:sz w:val="24"/>
                <w:szCs w:val="22"/>
                <w:highlight w:val="none"/>
                <w:vertAlign w:val="baseline"/>
                <w:lang w:val="en-US" w:eastAsia="zh-CN"/>
              </w:rPr>
            </w:pPr>
            <w:r>
              <w:rPr>
                <w:rFonts w:hint="eastAsia" w:ascii="Times New Roman" w:hAnsi="Times New Roman" w:eastAsia="宋体" w:cs="宋体"/>
                <w:caps w:val="0"/>
                <w:color w:val="auto"/>
                <w:sz w:val="24"/>
                <w:szCs w:val="22"/>
                <w:highlight w:val="none"/>
                <w:lang w:val="en-US" w:eastAsia="zh-CN"/>
              </w:rPr>
              <w:t>式中：</w:t>
            </w:r>
            <w:r>
              <w:rPr>
                <w:rFonts w:hint="eastAsia" w:ascii="Times New Roman" w:hAnsi="Times New Roman" w:eastAsia="宋体" w:cs="宋体"/>
                <w:i/>
                <w:iCs/>
                <w:caps w:val="0"/>
                <w:color w:val="auto"/>
                <w:sz w:val="24"/>
                <w:szCs w:val="22"/>
                <w:highlight w:val="none"/>
                <w:lang w:val="en-US" w:eastAsia="zh-CN"/>
              </w:rPr>
              <w:t>E</w:t>
            </w:r>
            <w:r>
              <w:rPr>
                <w:rFonts w:hint="eastAsia" w:ascii="Times New Roman" w:hAnsi="Times New Roman" w:eastAsia="宋体" w:cs="宋体"/>
                <w:i/>
                <w:iCs/>
                <w:caps w:val="0"/>
                <w:color w:val="auto"/>
                <w:sz w:val="24"/>
                <w:szCs w:val="22"/>
                <w:highlight w:val="none"/>
                <w:vertAlign w:val="subscript"/>
                <w:lang w:val="en-US" w:eastAsia="zh-CN"/>
              </w:rPr>
              <w:t>SO2</w:t>
            </w:r>
            <w:r>
              <w:rPr>
                <w:rFonts w:hint="eastAsia" w:ascii="Times New Roman" w:hAnsi="Times New Roman" w:eastAsia="宋体" w:cs="宋体"/>
                <w:caps w:val="0"/>
                <w:color w:val="auto"/>
                <w:sz w:val="24"/>
                <w:szCs w:val="22"/>
                <w:highlight w:val="none"/>
                <w:vertAlign w:val="baseline"/>
                <w:lang w:val="en-US" w:eastAsia="zh-CN"/>
              </w:rPr>
              <w:t>——核算时间段内二氧化硫排放量，t；</w:t>
            </w:r>
          </w:p>
          <w:p w14:paraId="0BB0CF04">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宋体"/>
                <w:caps w:val="0"/>
                <w:color w:val="auto"/>
                <w:sz w:val="24"/>
                <w:szCs w:val="22"/>
                <w:highlight w:val="none"/>
                <w:lang w:val="en-US" w:eastAsia="zh-CN"/>
              </w:rPr>
            </w:pPr>
            <w:r>
              <w:rPr>
                <w:rFonts w:hint="eastAsia" w:ascii="Times New Roman" w:hAnsi="Times New Roman" w:eastAsia="宋体" w:cs="宋体"/>
                <w:caps w:val="0"/>
                <w:color w:val="auto"/>
                <w:sz w:val="24"/>
                <w:szCs w:val="22"/>
                <w:highlight w:val="none"/>
                <w:lang w:val="en-US" w:eastAsia="zh-CN"/>
              </w:rPr>
              <w:t>R——核算时段内锅炉燃料耗量，t；</w:t>
            </w:r>
            <w:r>
              <w:rPr>
                <w:rFonts w:hint="eastAsia" w:ascii="Times New Roman" w:hAnsi="Times New Roman" w:eastAsia="宋体" w:cs="宋体"/>
                <w:caps w:val="0"/>
                <w:spacing w:val="0"/>
                <w:kern w:val="0"/>
                <w:sz w:val="24"/>
                <w:szCs w:val="24"/>
                <w:highlight w:val="none"/>
                <w:lang w:val="en-US" w:eastAsia="zh-CN" w:bidi="ar"/>
              </w:rPr>
              <w:t>导热油炉</w:t>
            </w:r>
            <w:r>
              <w:rPr>
                <w:rFonts w:hint="default" w:ascii="Times New Roman" w:hAnsi="Times New Roman" w:eastAsia="宋体" w:cs="宋体"/>
                <w:caps w:val="0"/>
                <w:color w:val="auto"/>
                <w:sz w:val="24"/>
                <w:szCs w:val="22"/>
                <w:highlight w:val="none"/>
                <w:lang w:val="en-US" w:eastAsia="zh-CN"/>
              </w:rPr>
              <w:t>的轻柴油用量约</w:t>
            </w:r>
            <w:r>
              <w:rPr>
                <w:rFonts w:hint="eastAsia" w:ascii="Times New Roman" w:hAnsi="Times New Roman" w:eastAsia="宋体" w:cs="宋体"/>
                <w:caps w:val="0"/>
                <w:color w:val="auto"/>
                <w:sz w:val="24"/>
                <w:highlight w:val="none"/>
                <w:lang w:val="en-US" w:eastAsia="zh-CN"/>
              </w:rPr>
              <w:t>416.34</w:t>
            </w:r>
            <w:r>
              <w:rPr>
                <w:rFonts w:hint="default" w:ascii="Times New Roman" w:hAnsi="Times New Roman" w:eastAsia="宋体" w:cs="宋体"/>
                <w:caps w:val="0"/>
                <w:color w:val="auto"/>
                <w:sz w:val="24"/>
                <w:szCs w:val="22"/>
                <w:highlight w:val="none"/>
                <w:lang w:val="en-US" w:eastAsia="zh-CN"/>
              </w:rPr>
              <w:t>t/a</w:t>
            </w:r>
            <w:r>
              <w:rPr>
                <w:rFonts w:hint="eastAsia" w:ascii="Times New Roman" w:hAnsi="Times New Roman" w:eastAsia="宋体" w:cs="宋体"/>
                <w:caps w:val="0"/>
                <w:color w:val="auto"/>
                <w:sz w:val="24"/>
                <w:szCs w:val="22"/>
                <w:highlight w:val="none"/>
                <w:lang w:val="en-US" w:eastAsia="zh-CN"/>
              </w:rPr>
              <w:t>。</w:t>
            </w:r>
          </w:p>
          <w:p w14:paraId="2313A8FF">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宋体"/>
                <w:caps w:val="0"/>
                <w:color w:val="auto"/>
                <w:sz w:val="24"/>
                <w:szCs w:val="22"/>
                <w:highlight w:val="none"/>
                <w:lang w:val="en-US" w:eastAsia="zh-CN"/>
              </w:rPr>
            </w:pPr>
            <w:r>
              <w:rPr>
                <w:rFonts w:hint="eastAsia" w:ascii="Times New Roman" w:hAnsi="Times New Roman" w:eastAsia="宋体" w:cs="宋体"/>
                <w:caps w:val="0"/>
                <w:color w:val="auto"/>
                <w:sz w:val="24"/>
                <w:szCs w:val="22"/>
                <w:highlight w:val="none"/>
                <w:lang w:val="en-US" w:eastAsia="zh-CN"/>
              </w:rPr>
              <w:t>Sar——收到基硫的质量分数，%，本项目所用柴油为0#柴油，按照国家发展改革等八部委《关于做好全国全面供应含硫量不大于10ppm普通柴油有关工作的通知》（发改办能源〔2017〕1665号）要求，2017年11月1日起全省全面供应含硫量不大于10ppm的普通柴油，同时停止国内销售含硫量大于10ppm的普通柴油。因此拟建项目燃油</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sz w:val="24"/>
                <w:szCs w:val="22"/>
                <w:highlight w:val="none"/>
                <w:lang w:val="en-US" w:eastAsia="zh-CN"/>
              </w:rPr>
              <w:t>使用的0#柴油含硫量取10ppm（即S为0.001%）。</w:t>
            </w:r>
          </w:p>
          <w:p w14:paraId="38011B35">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宋体"/>
                <w:caps w:val="0"/>
                <w:color w:val="auto"/>
                <w:sz w:val="24"/>
                <w:szCs w:val="22"/>
                <w:highlight w:val="none"/>
                <w:lang w:val="en-US" w:eastAsia="zh-CN"/>
              </w:rPr>
            </w:pPr>
            <w:r>
              <w:rPr>
                <w:rFonts w:hint="eastAsia" w:ascii="Times New Roman" w:hAnsi="Times New Roman" w:eastAsia="宋体" w:cs="宋体"/>
                <w:caps w:val="0"/>
                <w:color w:val="auto"/>
                <w:sz w:val="24"/>
                <w:szCs w:val="22"/>
                <w:highlight w:val="none"/>
                <w:lang w:val="en-US" w:eastAsia="zh-CN"/>
              </w:rPr>
              <w:t>q</w:t>
            </w:r>
            <w:r>
              <w:rPr>
                <w:rFonts w:hint="eastAsia" w:ascii="Times New Roman" w:hAnsi="Times New Roman" w:eastAsia="宋体" w:cs="宋体"/>
                <w:caps w:val="0"/>
                <w:color w:val="auto"/>
                <w:sz w:val="24"/>
                <w:szCs w:val="22"/>
                <w:highlight w:val="none"/>
                <w:vertAlign w:val="subscript"/>
                <w:lang w:val="en-US" w:eastAsia="zh-CN"/>
              </w:rPr>
              <w:t>4</w:t>
            </w:r>
            <w:r>
              <w:rPr>
                <w:rFonts w:hint="eastAsia" w:ascii="Times New Roman" w:hAnsi="Times New Roman" w:eastAsia="宋体" w:cs="宋体"/>
                <w:caps w:val="0"/>
                <w:color w:val="auto"/>
                <w:sz w:val="24"/>
                <w:szCs w:val="22"/>
                <w:highlight w:val="none"/>
                <w:lang w:val="en-US" w:eastAsia="zh-CN"/>
              </w:rPr>
              <w:t>——锅炉机械不完全燃烧热损失，%，取5；</w:t>
            </w:r>
          </w:p>
          <w:p w14:paraId="49EAA641">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宋体"/>
                <w:caps w:val="0"/>
                <w:color w:val="auto"/>
                <w:sz w:val="24"/>
                <w:szCs w:val="22"/>
                <w:highlight w:val="none"/>
                <w:lang w:val="en-US" w:eastAsia="zh-CN"/>
              </w:rPr>
            </w:pPr>
            <w:r>
              <w:rPr>
                <w:rFonts w:hint="default" w:ascii="Times New Roman" w:hAnsi="Times New Roman" w:eastAsia="宋体" w:cs="宋体"/>
                <w:caps w:val="0"/>
                <w:color w:val="auto"/>
                <w:sz w:val="24"/>
                <w:szCs w:val="22"/>
                <w:highlight w:val="none"/>
                <w:lang w:val="en-US" w:eastAsia="zh-CN"/>
              </w:rPr>
              <w:object>
                <v:shape id="_x0000_i1031" o:spt="75" type="#_x0000_t75" style="height:18pt;width:13pt;" o:ole="t" filled="f" o:preferrelative="t" stroked="f" coordsize="21600,21600">
                  <v:path/>
                  <v:fill on="f" focussize="0,0"/>
                  <v:stroke on="f"/>
                  <v:imagedata r:id="rId36" o:title=""/>
                  <o:lock v:ext="edit" aspectratio="t"/>
                  <w10:wrap type="none"/>
                  <w10:anchorlock/>
                </v:shape>
                <o:OLEObject Type="Embed" ProgID="Equation.KSEE3" ShapeID="_x0000_i1031" DrawAspect="Content" ObjectID="_1468075731" r:id="rId35">
                  <o:LockedField>false</o:LockedField>
                </o:OLEObject>
              </w:object>
            </w:r>
            <w:r>
              <w:rPr>
                <w:rFonts w:hint="eastAsia" w:ascii="Times New Roman" w:hAnsi="Times New Roman" w:eastAsia="宋体" w:cs="宋体"/>
                <w:caps w:val="0"/>
                <w:color w:val="auto"/>
                <w:sz w:val="24"/>
                <w:szCs w:val="22"/>
                <w:highlight w:val="none"/>
                <w:lang w:val="en-US" w:eastAsia="zh-CN"/>
              </w:rPr>
              <w:t>——脱硫效率，%；取0</w:t>
            </w:r>
          </w:p>
          <w:p w14:paraId="00DAA98E">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宋体"/>
                <w:caps w:val="0"/>
                <w:color w:val="auto"/>
                <w:sz w:val="24"/>
                <w:szCs w:val="22"/>
                <w:highlight w:val="none"/>
                <w:lang w:val="en-US" w:eastAsia="zh-CN"/>
              </w:rPr>
            </w:pPr>
            <w:r>
              <w:rPr>
                <w:rFonts w:hint="eastAsia" w:ascii="Times New Roman" w:hAnsi="Times New Roman" w:eastAsia="宋体" w:cs="宋体"/>
                <w:caps w:val="0"/>
                <w:color w:val="auto"/>
                <w:sz w:val="24"/>
                <w:szCs w:val="22"/>
                <w:highlight w:val="none"/>
                <w:lang w:val="en-US" w:eastAsia="zh-CN"/>
              </w:rPr>
              <w:t>K——燃料中的硫燃烧后氧化成二氧化硫的份额，量纲一的量，取1。</w:t>
            </w:r>
          </w:p>
          <w:p w14:paraId="66BE012F">
            <w:pPr>
              <w:pStyle w:val="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color w:val="auto"/>
                <w:sz w:val="24"/>
                <w:szCs w:val="22"/>
                <w:highlight w:val="none"/>
                <w:lang w:val="en-US" w:eastAsia="zh-CN"/>
              </w:rPr>
              <w:t>二氧化硫产生量为0.00791t/a，排放速率为0.00132kg/h，则单台</w:t>
            </w:r>
            <w:r>
              <w:rPr>
                <w:rFonts w:hint="eastAsia" w:ascii="Times New Roman" w:hAnsi="Times New Roman" w:eastAsia="宋体" w:cs="宋体"/>
                <w:caps w:val="0"/>
                <w:spacing w:val="0"/>
                <w:kern w:val="0"/>
                <w:sz w:val="24"/>
                <w:szCs w:val="24"/>
                <w:highlight w:val="none"/>
                <w:lang w:val="en-US" w:eastAsia="zh-CN" w:bidi="ar"/>
              </w:rPr>
              <w:t>导热油炉</w:t>
            </w:r>
            <w:r>
              <w:rPr>
                <w:rFonts w:hint="eastAsia" w:ascii="Times New Roman" w:hAnsi="Times New Roman" w:eastAsia="宋体" w:cs="宋体"/>
                <w:caps w:val="0"/>
                <w:color w:val="auto"/>
                <w:sz w:val="24"/>
                <w:szCs w:val="22"/>
                <w:highlight w:val="none"/>
                <w:lang w:val="en-US" w:eastAsia="zh-CN"/>
              </w:rPr>
              <w:t>排放量为0.003955t/a，排放速率为0.00066kg/h，排放浓度为1.497mg/m</w:t>
            </w:r>
            <w:r>
              <w:rPr>
                <w:rFonts w:hint="eastAsia" w:ascii="Times New Roman" w:hAnsi="Times New Roman" w:eastAsia="宋体" w:cs="宋体"/>
                <w:caps w:val="0"/>
                <w:color w:val="auto"/>
                <w:sz w:val="24"/>
                <w:szCs w:val="22"/>
                <w:highlight w:val="none"/>
                <w:vertAlign w:val="superscript"/>
                <w:lang w:val="en-US" w:eastAsia="zh-CN"/>
              </w:rPr>
              <w:t>3</w:t>
            </w:r>
            <w:r>
              <w:rPr>
                <w:rFonts w:hint="eastAsia" w:ascii="Times New Roman" w:hAnsi="Times New Roman" w:eastAsia="宋体" w:cs="宋体"/>
                <w:caps w:val="0"/>
                <w:color w:val="auto"/>
                <w:sz w:val="24"/>
                <w:szCs w:val="22"/>
                <w:highlight w:val="none"/>
                <w:lang w:val="en-US" w:eastAsia="zh-CN"/>
              </w:rPr>
              <w:t>。</w:t>
            </w:r>
          </w:p>
          <w:p w14:paraId="3D3412D8">
            <w:pPr>
              <w:pStyle w:val="5"/>
              <w:keepNext w:val="0"/>
              <w:keepLines w:val="0"/>
              <w:pageBreakBefore w:val="0"/>
              <w:widowControl/>
              <w:numPr>
                <w:ilvl w:val="0"/>
                <w:numId w:val="7"/>
              </w:numPr>
              <w:kinsoku/>
              <w:wordWrap/>
              <w:overflowPunct/>
              <w:topLinePunct w:val="0"/>
              <w:autoSpaceDE/>
              <w:autoSpaceDN/>
              <w:bidi w:val="0"/>
              <w:adjustRightInd/>
              <w:snapToGrid w:val="0"/>
              <w:spacing w:before="0" w:after="0" w:line="360" w:lineRule="auto"/>
              <w:ind w:right="0" w:firstLine="480" w:firstLineChars="200"/>
              <w:textAlignment w:val="auto"/>
              <w:rPr>
                <w:rFonts w:hint="eastAsia" w:cs="宋体"/>
                <w:caps w:val="0"/>
                <w:spacing w:val="0"/>
                <w:sz w:val="24"/>
                <w:szCs w:val="24"/>
                <w:highlight w:val="none"/>
                <w:lang w:val="en-US" w:eastAsia="zh-CN"/>
              </w:rPr>
            </w:pPr>
            <w:r>
              <w:rPr>
                <w:rFonts w:hint="eastAsia" w:cs="宋体"/>
                <w:caps w:val="0"/>
                <w:spacing w:val="0"/>
                <w:sz w:val="24"/>
                <w:szCs w:val="24"/>
                <w:highlight w:val="none"/>
                <w:lang w:val="en-US" w:eastAsia="zh-CN"/>
              </w:rPr>
              <w:t>储罐大小呼吸废气</w:t>
            </w:r>
          </w:p>
          <w:p w14:paraId="2E889ED3">
            <w:pPr>
              <w:pStyle w:val="6"/>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textAlignment w:val="auto"/>
              <w:rPr>
                <w:rFonts w:hint="default"/>
                <w:highlight w:val="none"/>
                <w:lang w:val="en-US" w:eastAsia="zh-CN"/>
              </w:rPr>
            </w:pPr>
            <w:r>
              <w:rPr>
                <w:rFonts w:hint="eastAsia"/>
                <w:highlight w:val="none"/>
                <w:lang w:val="en-US" w:eastAsia="zh-CN"/>
              </w:rPr>
              <w:t>①</w:t>
            </w:r>
            <w:r>
              <w:rPr>
                <w:rFonts w:hint="default"/>
                <w:highlight w:val="none"/>
                <w:lang w:val="en-US" w:eastAsia="zh-CN"/>
              </w:rPr>
              <w:t>卸油灌注损失(大呼吸)</w:t>
            </w:r>
          </w:p>
          <w:p w14:paraId="617BBC7D">
            <w:pPr>
              <w:pStyle w:val="6"/>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textAlignment w:val="auto"/>
              <w:rPr>
                <w:rFonts w:hint="default"/>
                <w:highlight w:val="none"/>
                <w:lang w:val="en-US" w:eastAsia="zh-CN"/>
              </w:rPr>
            </w:pPr>
            <w:r>
              <w:rPr>
                <w:rFonts w:hint="default"/>
                <w:highlight w:val="none"/>
                <w:lang w:val="en-US" w:eastAsia="zh-CN"/>
              </w:rPr>
              <w:t>本项目使用的是立式金属罐，根据《散装液态石油产品损耗标准》，卸油过程中柴油会分别产生0.05%的油气，本项目柴油年周转量为416.34t，则卸油过程中柴油油气挥发量为</w:t>
            </w:r>
            <w:r>
              <w:rPr>
                <w:rFonts w:hint="eastAsia"/>
                <w:highlight w:val="none"/>
                <w:lang w:val="en-US" w:eastAsia="zh-CN"/>
              </w:rPr>
              <w:t>0.209</w:t>
            </w:r>
            <w:r>
              <w:rPr>
                <w:rFonts w:hint="default"/>
                <w:highlight w:val="none"/>
                <w:lang w:val="en-US" w:eastAsia="zh-CN"/>
              </w:rPr>
              <w:t>t。</w:t>
            </w:r>
          </w:p>
          <w:p w14:paraId="3369A05A">
            <w:pPr>
              <w:pStyle w:val="6"/>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textAlignment w:val="auto"/>
              <w:rPr>
                <w:rFonts w:hint="default"/>
                <w:highlight w:val="none"/>
                <w:lang w:val="en-US" w:eastAsia="zh-CN"/>
              </w:rPr>
            </w:pPr>
            <w:r>
              <w:rPr>
                <w:rFonts w:hint="eastAsia"/>
                <w:highlight w:val="none"/>
                <w:lang w:val="en-US" w:eastAsia="zh-CN"/>
              </w:rPr>
              <w:t>②</w:t>
            </w:r>
            <w:r>
              <w:rPr>
                <w:rFonts w:hint="default"/>
                <w:highlight w:val="none"/>
                <w:lang w:val="en-US" w:eastAsia="zh-CN"/>
              </w:rPr>
              <w:t>储油过程损失(小呼吸)</w:t>
            </w:r>
          </w:p>
          <w:p w14:paraId="4D8FBD29">
            <w:pPr>
              <w:pStyle w:val="6"/>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textAlignment w:val="auto"/>
              <w:rPr>
                <w:rFonts w:hint="default"/>
                <w:highlight w:val="none"/>
                <w:lang w:val="en-US" w:eastAsia="zh-CN"/>
              </w:rPr>
            </w:pPr>
            <w:r>
              <w:rPr>
                <w:rFonts w:hint="default"/>
                <w:highlight w:val="none"/>
                <w:lang w:val="en-US" w:eastAsia="zh-CN"/>
              </w:rPr>
              <w:t>根据《散装液态石油产品损耗标准》，储油过程中柴油会分别产生0.01%的油气，本项目柴油年周转量为416.34t，则储罐中柴油油气挥发量为0.0</w:t>
            </w:r>
            <w:r>
              <w:rPr>
                <w:rFonts w:hint="eastAsia"/>
                <w:highlight w:val="none"/>
                <w:lang w:val="en-US" w:eastAsia="zh-CN"/>
              </w:rPr>
              <w:t>42</w:t>
            </w:r>
            <w:r>
              <w:rPr>
                <w:rFonts w:hint="default"/>
                <w:highlight w:val="none"/>
                <w:lang w:val="en-US" w:eastAsia="zh-CN"/>
              </w:rPr>
              <w:t>t。</w:t>
            </w:r>
          </w:p>
          <w:p w14:paraId="03C3A566">
            <w:pPr>
              <w:pStyle w:val="6"/>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textAlignment w:val="auto"/>
              <w:rPr>
                <w:rFonts w:hint="default"/>
                <w:highlight w:val="none"/>
                <w:lang w:val="en-US" w:eastAsia="zh-CN"/>
              </w:rPr>
            </w:pPr>
            <w:r>
              <w:rPr>
                <w:rFonts w:hint="eastAsia"/>
                <w:highlight w:val="none"/>
                <w:lang w:val="en-US" w:eastAsia="zh-CN"/>
              </w:rPr>
              <w:t>本项目燃料储罐产生的大、小呼吸废气经呼吸口无组织排放。</w:t>
            </w:r>
          </w:p>
          <w:p w14:paraId="2C741858">
            <w:pPr>
              <w:pStyle w:val="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Times New Roman" w:hAnsi="Times New Roman" w:eastAsia="宋体" w:cs="宋体"/>
                <w:caps w:val="0"/>
                <w:highlight w:val="none"/>
                <w:lang w:eastAsia="zh-CN"/>
              </w:rPr>
            </w:pPr>
            <w:r>
              <w:rPr>
                <w:rFonts w:hint="eastAsia" w:ascii="Times New Roman" w:hAnsi="Times New Roman" w:eastAsia="宋体" w:cs="宋体"/>
                <w:caps w:val="0"/>
                <w:spacing w:val="0"/>
                <w:sz w:val="24"/>
                <w:szCs w:val="24"/>
                <w:highlight w:val="none"/>
                <w:lang w:val="en-US" w:eastAsia="zh-CN"/>
              </w:rPr>
              <w:t>本项目废气污染源源强汇总见表4-1</w:t>
            </w:r>
          </w:p>
        </w:tc>
      </w:tr>
    </w:tbl>
    <w:p w14:paraId="29848E7B">
      <w:pPr>
        <w:rPr>
          <w:rFonts w:hint="eastAsia" w:ascii="Times New Roman" w:hAnsi="Times New Roman" w:eastAsia="宋体" w:cs="宋体"/>
          <w:caps w:val="0"/>
          <w:spacing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5"/>
        <w:tblW w:w="502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3635"/>
      </w:tblGrid>
      <w:tr w14:paraId="6DC94D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82" w:hRule="atLeast"/>
          <w:jc w:val="center"/>
        </w:trPr>
        <w:tc>
          <w:tcPr>
            <w:tcW w:w="537" w:type="dxa"/>
            <w:noWrap w:val="0"/>
            <w:tcMar>
              <w:left w:w="28" w:type="dxa"/>
              <w:right w:w="28" w:type="dxa"/>
            </w:tcMar>
            <w:vAlign w:val="center"/>
          </w:tcPr>
          <w:p w14:paraId="20565736">
            <w:pPr>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3559" w:type="dxa"/>
            <w:tcBorders>
              <w:top w:val="single" w:color="auto" w:sz="4" w:space="0"/>
              <w:bottom w:val="single" w:color="auto" w:sz="4" w:space="0"/>
            </w:tcBorders>
            <w:noWrap w:val="0"/>
            <w:vAlign w:val="center"/>
          </w:tcPr>
          <w:p w14:paraId="7B2396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aps w:val="0"/>
                <w:color w:val="auto"/>
                <w:spacing w:val="0"/>
                <w:sz w:val="21"/>
                <w:szCs w:val="21"/>
                <w:highlight w:val="none"/>
              </w:rPr>
            </w:pPr>
            <w:r>
              <w:rPr>
                <w:rFonts w:hint="eastAsia" w:ascii="Times New Roman" w:hAnsi="Times New Roman" w:eastAsia="宋体" w:cs="宋体"/>
                <w:b/>
                <w:bCs w:val="0"/>
                <w:caps w:val="0"/>
                <w:color w:val="auto"/>
                <w:spacing w:val="0"/>
                <w:sz w:val="21"/>
                <w:szCs w:val="21"/>
                <w:highlight w:val="none"/>
              </w:rPr>
              <w:t>表4-</w:t>
            </w:r>
            <w:r>
              <w:rPr>
                <w:rFonts w:hint="eastAsia" w:ascii="Times New Roman" w:hAnsi="Times New Roman" w:eastAsia="宋体" w:cs="宋体"/>
                <w:b/>
                <w:bCs w:val="0"/>
                <w:caps w:val="0"/>
                <w:color w:val="auto"/>
                <w:spacing w:val="0"/>
                <w:sz w:val="21"/>
                <w:szCs w:val="21"/>
                <w:highlight w:val="none"/>
                <w:lang w:val="en-US" w:eastAsia="zh-CN"/>
              </w:rPr>
              <w:t xml:space="preserve">1  </w:t>
            </w:r>
            <w:r>
              <w:rPr>
                <w:rFonts w:hint="eastAsia" w:ascii="Times New Roman" w:hAnsi="Times New Roman" w:eastAsia="宋体" w:cs="宋体"/>
                <w:b/>
                <w:bCs w:val="0"/>
                <w:caps w:val="0"/>
                <w:color w:val="auto"/>
                <w:spacing w:val="0"/>
                <w:sz w:val="21"/>
                <w:szCs w:val="21"/>
                <w:highlight w:val="none"/>
                <w:lang w:eastAsia="zh-CN"/>
              </w:rPr>
              <w:t>本项目</w:t>
            </w:r>
            <w:r>
              <w:rPr>
                <w:rFonts w:hint="eastAsia" w:ascii="Times New Roman" w:hAnsi="Times New Roman" w:eastAsia="宋体" w:cs="宋体"/>
                <w:b/>
                <w:bCs w:val="0"/>
                <w:caps w:val="0"/>
                <w:color w:val="auto"/>
                <w:spacing w:val="0"/>
                <w:sz w:val="21"/>
                <w:szCs w:val="21"/>
                <w:highlight w:val="none"/>
              </w:rPr>
              <w:t>废气污染物排放情况一览表</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6"/>
              <w:gridCol w:w="600"/>
              <w:gridCol w:w="735"/>
              <w:gridCol w:w="900"/>
              <w:gridCol w:w="1275"/>
              <w:gridCol w:w="825"/>
              <w:gridCol w:w="700"/>
              <w:gridCol w:w="20"/>
              <w:gridCol w:w="693"/>
              <w:gridCol w:w="27"/>
              <w:gridCol w:w="720"/>
              <w:gridCol w:w="1065"/>
              <w:gridCol w:w="1005"/>
              <w:gridCol w:w="808"/>
              <w:gridCol w:w="731"/>
              <w:gridCol w:w="658"/>
              <w:gridCol w:w="796"/>
              <w:gridCol w:w="31"/>
              <w:gridCol w:w="766"/>
              <w:gridCol w:w="548"/>
            </w:tblGrid>
            <w:tr w14:paraId="7FA49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restart"/>
                  <w:noWrap w:val="0"/>
                  <w:vAlign w:val="center"/>
                </w:tcPr>
                <w:p w14:paraId="6A5F7B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工序</w:t>
                  </w:r>
                </w:p>
              </w:tc>
              <w:tc>
                <w:tcPr>
                  <w:tcW w:w="223" w:type="pct"/>
                  <w:vMerge w:val="restart"/>
                  <w:noWrap w:val="0"/>
                  <w:vAlign w:val="center"/>
                </w:tcPr>
                <w:p w14:paraId="1A5F26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装置</w:t>
                  </w:r>
                </w:p>
              </w:tc>
              <w:tc>
                <w:tcPr>
                  <w:tcW w:w="273" w:type="pct"/>
                  <w:vMerge w:val="restart"/>
                  <w:noWrap w:val="0"/>
                  <w:vAlign w:val="center"/>
                </w:tcPr>
                <w:p w14:paraId="38D82F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污染源</w:t>
                  </w:r>
                </w:p>
              </w:tc>
              <w:tc>
                <w:tcPr>
                  <w:tcW w:w="335" w:type="pct"/>
                  <w:vMerge w:val="restart"/>
                  <w:noWrap w:val="0"/>
                  <w:vAlign w:val="center"/>
                </w:tcPr>
                <w:p w14:paraId="05F2E2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污染物</w:t>
                  </w:r>
                </w:p>
              </w:tc>
              <w:tc>
                <w:tcPr>
                  <w:tcW w:w="1587" w:type="pct"/>
                  <w:gridSpan w:val="7"/>
                  <w:noWrap w:val="0"/>
                  <w:vAlign w:val="center"/>
                </w:tcPr>
                <w:p w14:paraId="6FD13B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污染物产生</w:t>
                  </w:r>
                </w:p>
              </w:tc>
              <w:tc>
                <w:tcPr>
                  <w:tcW w:w="771" w:type="pct"/>
                  <w:gridSpan w:val="2"/>
                  <w:noWrap w:val="0"/>
                  <w:vAlign w:val="center"/>
                </w:tcPr>
                <w:p w14:paraId="6B665B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治理措施</w:t>
                  </w:r>
                </w:p>
              </w:tc>
              <w:tc>
                <w:tcPr>
                  <w:tcW w:w="301" w:type="pct"/>
                  <w:vMerge w:val="restart"/>
                  <w:noWrap w:val="0"/>
                  <w:vAlign w:val="center"/>
                </w:tcPr>
                <w:p w14:paraId="7283D6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是否为可行性技术</w:t>
                  </w:r>
                </w:p>
              </w:tc>
              <w:tc>
                <w:tcPr>
                  <w:tcW w:w="1111" w:type="pct"/>
                  <w:gridSpan w:val="5"/>
                  <w:noWrap w:val="0"/>
                  <w:vAlign w:val="center"/>
                </w:tcPr>
                <w:p w14:paraId="4E0C96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污染物排放</w:t>
                  </w:r>
                </w:p>
              </w:tc>
              <w:tc>
                <w:tcPr>
                  <w:tcW w:w="204" w:type="pct"/>
                  <w:vMerge w:val="restart"/>
                  <w:noWrap w:val="0"/>
                  <w:vAlign w:val="center"/>
                </w:tcPr>
                <w:p w14:paraId="0F22C9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排放时间h</w:t>
                  </w:r>
                </w:p>
              </w:tc>
            </w:tr>
            <w:tr w14:paraId="025D2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noWrap w:val="0"/>
                  <w:vAlign w:val="center"/>
                </w:tcPr>
                <w:p w14:paraId="7BD4D1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23" w:type="pct"/>
                  <w:vMerge w:val="continue"/>
                  <w:noWrap w:val="0"/>
                  <w:vAlign w:val="center"/>
                </w:tcPr>
                <w:p w14:paraId="305271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73" w:type="pct"/>
                  <w:vMerge w:val="continue"/>
                  <w:noWrap w:val="0"/>
                  <w:vAlign w:val="center"/>
                </w:tcPr>
                <w:p w14:paraId="5931CC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35" w:type="pct"/>
                  <w:vMerge w:val="continue"/>
                  <w:noWrap w:val="0"/>
                  <w:vAlign w:val="center"/>
                </w:tcPr>
                <w:p w14:paraId="092D5F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475" w:type="pct"/>
                  <w:noWrap w:val="0"/>
                  <w:vAlign w:val="center"/>
                </w:tcPr>
                <w:p w14:paraId="792A24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核算</w:t>
                  </w:r>
                </w:p>
                <w:p w14:paraId="421849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方法</w:t>
                  </w:r>
                </w:p>
              </w:tc>
              <w:tc>
                <w:tcPr>
                  <w:tcW w:w="307" w:type="pct"/>
                  <w:noWrap w:val="0"/>
                  <w:vAlign w:val="center"/>
                </w:tcPr>
                <w:p w14:paraId="6F4AC7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废气产生量</w:t>
                  </w:r>
                  <w:r>
                    <w:rPr>
                      <w:rFonts w:hint="default" w:ascii="Times New Roman" w:hAnsi="Times New Roman" w:eastAsia="宋体" w:cs="宋体"/>
                      <w:caps w:val="0"/>
                      <w:color w:val="auto"/>
                      <w:spacing w:val="0"/>
                      <w:sz w:val="21"/>
                      <w:szCs w:val="21"/>
                      <w:highlight w:val="none"/>
                      <w:lang w:eastAsia="zh-CN"/>
                    </w:rPr>
                    <w:t>m</w:t>
                  </w:r>
                  <w:r>
                    <w:rPr>
                      <w:rFonts w:hint="default" w:ascii="Times New Roman" w:hAnsi="Times New Roman" w:eastAsia="宋体" w:cs="宋体"/>
                      <w:caps w:val="0"/>
                      <w:smallCaps w:val="0"/>
                      <w:strike w:val="0"/>
                      <w:dstrike w:val="0"/>
                      <w:vanish w:val="0"/>
                      <w:color w:val="auto"/>
                      <w:spacing w:val="0"/>
                      <w:sz w:val="21"/>
                      <w:szCs w:val="21"/>
                      <w:highlight w:val="none"/>
                      <w:vertAlign w:val="superscript"/>
                      <w:lang w:eastAsia="zh-CN"/>
                    </w:rPr>
                    <w:t>3</w:t>
                  </w:r>
                  <w:r>
                    <w:rPr>
                      <w:rFonts w:hint="default" w:ascii="Times New Roman" w:hAnsi="Times New Roman" w:eastAsia="宋体" w:cs="宋体"/>
                      <w:caps w:val="0"/>
                      <w:color w:val="auto"/>
                      <w:spacing w:val="0"/>
                      <w:sz w:val="21"/>
                      <w:szCs w:val="21"/>
                      <w:highlight w:val="none"/>
                    </w:rPr>
                    <w:t>/a</w:t>
                  </w:r>
                </w:p>
              </w:tc>
              <w:tc>
                <w:tcPr>
                  <w:tcW w:w="260" w:type="pct"/>
                  <w:noWrap w:val="0"/>
                  <w:vAlign w:val="center"/>
                </w:tcPr>
                <w:p w14:paraId="1588CA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rPr>
                    <w:t>产生</w:t>
                  </w:r>
                  <w:r>
                    <w:rPr>
                      <w:rFonts w:hint="eastAsia" w:ascii="Times New Roman" w:hAnsi="Times New Roman" w:eastAsia="宋体" w:cs="宋体"/>
                      <w:caps w:val="0"/>
                      <w:color w:val="auto"/>
                      <w:spacing w:val="0"/>
                      <w:sz w:val="21"/>
                      <w:szCs w:val="21"/>
                      <w:highlight w:val="none"/>
                      <w:lang w:val="en-US" w:eastAsia="zh-CN"/>
                    </w:rPr>
                    <w:t>量t/a</w:t>
                  </w:r>
                </w:p>
              </w:tc>
              <w:tc>
                <w:tcPr>
                  <w:tcW w:w="265" w:type="pct"/>
                  <w:gridSpan w:val="2"/>
                  <w:noWrap w:val="0"/>
                  <w:vAlign w:val="center"/>
                </w:tcPr>
                <w:p w14:paraId="1E725F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eastAsia="zh-CN"/>
                    </w:rPr>
                  </w:pPr>
                  <w:r>
                    <w:rPr>
                      <w:rFonts w:hint="default" w:ascii="Times New Roman" w:hAnsi="Times New Roman" w:eastAsia="宋体" w:cs="宋体"/>
                      <w:caps w:val="0"/>
                      <w:color w:val="auto"/>
                      <w:spacing w:val="0"/>
                      <w:sz w:val="21"/>
                      <w:szCs w:val="21"/>
                      <w:highlight w:val="none"/>
                    </w:rPr>
                    <w:t>产生</w:t>
                  </w:r>
                  <w:r>
                    <w:rPr>
                      <w:rFonts w:hint="eastAsia" w:ascii="Times New Roman" w:hAnsi="Times New Roman" w:eastAsia="宋体" w:cs="宋体"/>
                      <w:caps w:val="0"/>
                      <w:color w:val="auto"/>
                      <w:spacing w:val="0"/>
                      <w:sz w:val="21"/>
                      <w:szCs w:val="21"/>
                      <w:highlight w:val="none"/>
                      <w:lang w:val="en-US" w:eastAsia="zh-CN"/>
                    </w:rPr>
                    <w:t>速率</w:t>
                  </w:r>
                  <w:r>
                    <w:rPr>
                      <w:rFonts w:hint="default" w:ascii="Times New Roman" w:hAnsi="Times New Roman" w:eastAsia="宋体" w:cs="宋体"/>
                      <w:caps w:val="0"/>
                      <w:color w:val="auto"/>
                      <w:spacing w:val="0"/>
                      <w:sz w:val="21"/>
                      <w:szCs w:val="21"/>
                      <w:highlight w:val="none"/>
                      <w:lang w:val="en-US" w:eastAsia="zh-CN"/>
                    </w:rPr>
                    <w:t>kg/h</w:t>
                  </w:r>
                </w:p>
              </w:tc>
              <w:tc>
                <w:tcPr>
                  <w:tcW w:w="278" w:type="pct"/>
                  <w:gridSpan w:val="2"/>
                  <w:noWrap w:val="0"/>
                  <w:vAlign w:val="center"/>
                </w:tcPr>
                <w:p w14:paraId="30E6C8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产生浓度mg/m</w:t>
                  </w:r>
                  <w:r>
                    <w:rPr>
                      <w:rFonts w:hint="eastAsia" w:ascii="Times New Roman" w:hAnsi="Times New Roman" w:cs="宋体"/>
                      <w:caps w:val="0"/>
                      <w:color w:val="auto"/>
                      <w:spacing w:val="0"/>
                      <w:sz w:val="21"/>
                      <w:szCs w:val="21"/>
                      <w:highlight w:val="none"/>
                      <w:vertAlign w:val="superscript"/>
                      <w:lang w:val="en-US" w:eastAsia="zh-CN"/>
                    </w:rPr>
                    <w:t>3</w:t>
                  </w:r>
                </w:p>
              </w:tc>
              <w:tc>
                <w:tcPr>
                  <w:tcW w:w="396" w:type="pct"/>
                  <w:noWrap w:val="0"/>
                  <w:vAlign w:val="center"/>
                </w:tcPr>
                <w:p w14:paraId="7E4558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工艺</w:t>
                  </w:r>
                </w:p>
              </w:tc>
              <w:tc>
                <w:tcPr>
                  <w:tcW w:w="374" w:type="pct"/>
                  <w:noWrap w:val="0"/>
                  <w:vAlign w:val="center"/>
                </w:tcPr>
                <w:p w14:paraId="6318B2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效率%</w:t>
                  </w:r>
                </w:p>
              </w:tc>
              <w:tc>
                <w:tcPr>
                  <w:tcW w:w="301" w:type="pct"/>
                  <w:vMerge w:val="continue"/>
                  <w:noWrap w:val="0"/>
                  <w:vAlign w:val="center"/>
                </w:tcPr>
                <w:p w14:paraId="29574E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72" w:type="pct"/>
                  <w:noWrap w:val="0"/>
                  <w:vAlign w:val="center"/>
                </w:tcPr>
                <w:p w14:paraId="26DEB3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核算</w:t>
                  </w:r>
                </w:p>
                <w:p w14:paraId="5AAB31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方法</w:t>
                  </w:r>
                </w:p>
              </w:tc>
              <w:tc>
                <w:tcPr>
                  <w:tcW w:w="245" w:type="pct"/>
                  <w:noWrap w:val="0"/>
                  <w:vAlign w:val="center"/>
                </w:tcPr>
                <w:p w14:paraId="546F42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eastAsia="zh-CN"/>
                    </w:rPr>
                  </w:pPr>
                  <w:r>
                    <w:rPr>
                      <w:rFonts w:hint="default" w:ascii="Times New Roman" w:hAnsi="Times New Roman" w:eastAsia="宋体" w:cs="宋体"/>
                      <w:caps w:val="0"/>
                      <w:color w:val="auto"/>
                      <w:spacing w:val="0"/>
                      <w:sz w:val="21"/>
                      <w:szCs w:val="21"/>
                      <w:highlight w:val="none"/>
                    </w:rPr>
                    <w:t>废气产生量</w:t>
                  </w:r>
                  <w:r>
                    <w:rPr>
                      <w:rFonts w:hint="default" w:ascii="Times New Roman" w:hAnsi="Times New Roman" w:eastAsia="宋体" w:cs="宋体"/>
                      <w:caps w:val="0"/>
                      <w:color w:val="auto"/>
                      <w:spacing w:val="0"/>
                      <w:sz w:val="21"/>
                      <w:szCs w:val="21"/>
                      <w:highlight w:val="none"/>
                      <w:lang w:eastAsia="zh-CN"/>
                    </w:rPr>
                    <w:t>m</w:t>
                  </w:r>
                  <w:r>
                    <w:rPr>
                      <w:rFonts w:hint="default" w:ascii="Times New Roman" w:hAnsi="Times New Roman" w:eastAsia="宋体" w:cs="宋体"/>
                      <w:caps w:val="0"/>
                      <w:smallCaps w:val="0"/>
                      <w:strike w:val="0"/>
                      <w:dstrike w:val="0"/>
                      <w:vanish w:val="0"/>
                      <w:color w:val="auto"/>
                      <w:spacing w:val="0"/>
                      <w:sz w:val="21"/>
                      <w:szCs w:val="21"/>
                      <w:highlight w:val="none"/>
                      <w:vertAlign w:val="superscript"/>
                      <w:lang w:eastAsia="zh-CN"/>
                    </w:rPr>
                    <w:t>3</w:t>
                  </w:r>
                  <w:r>
                    <w:rPr>
                      <w:rFonts w:hint="default" w:ascii="Times New Roman" w:hAnsi="Times New Roman" w:eastAsia="宋体" w:cs="宋体"/>
                      <w:caps w:val="0"/>
                      <w:color w:val="auto"/>
                      <w:spacing w:val="0"/>
                      <w:sz w:val="21"/>
                      <w:szCs w:val="21"/>
                      <w:highlight w:val="none"/>
                    </w:rPr>
                    <w:t>/</w:t>
                  </w:r>
                  <w:r>
                    <w:rPr>
                      <w:rFonts w:hint="default" w:ascii="Times New Roman" w:hAnsi="Times New Roman" w:eastAsia="宋体" w:cs="宋体"/>
                      <w:caps w:val="0"/>
                      <w:color w:val="auto"/>
                      <w:spacing w:val="0"/>
                      <w:sz w:val="21"/>
                      <w:szCs w:val="21"/>
                      <w:highlight w:val="none"/>
                      <w:lang w:val="en-US" w:eastAsia="zh-CN"/>
                    </w:rPr>
                    <w:t>a</w:t>
                  </w:r>
                </w:p>
              </w:tc>
              <w:tc>
                <w:tcPr>
                  <w:tcW w:w="308" w:type="pct"/>
                  <w:gridSpan w:val="2"/>
                  <w:noWrap w:val="0"/>
                  <w:vAlign w:val="center"/>
                </w:tcPr>
                <w:p w14:paraId="313610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排放浓度</w:t>
                  </w:r>
                </w:p>
                <w:p w14:paraId="092326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eastAsia="zh-CN"/>
                    </w:rPr>
                  </w:pPr>
                  <w:r>
                    <w:rPr>
                      <w:rFonts w:hint="default" w:ascii="Times New Roman" w:hAnsi="Times New Roman" w:eastAsia="宋体" w:cs="宋体"/>
                      <w:caps w:val="0"/>
                      <w:color w:val="auto"/>
                      <w:spacing w:val="0"/>
                      <w:sz w:val="21"/>
                      <w:szCs w:val="21"/>
                      <w:highlight w:val="none"/>
                    </w:rPr>
                    <w:t>mg/</w:t>
                  </w:r>
                  <w:r>
                    <w:rPr>
                      <w:rFonts w:hint="default" w:ascii="Times New Roman" w:hAnsi="Times New Roman" w:eastAsia="宋体" w:cs="宋体"/>
                      <w:caps w:val="0"/>
                      <w:color w:val="auto"/>
                      <w:spacing w:val="0"/>
                      <w:sz w:val="21"/>
                      <w:szCs w:val="21"/>
                      <w:highlight w:val="none"/>
                      <w:lang w:eastAsia="zh-CN"/>
                    </w:rPr>
                    <w:t>m</w:t>
                  </w:r>
                  <w:r>
                    <w:rPr>
                      <w:rFonts w:hint="default" w:ascii="Times New Roman" w:hAnsi="Times New Roman" w:eastAsia="宋体" w:cs="宋体"/>
                      <w:caps w:val="0"/>
                      <w:smallCaps w:val="0"/>
                      <w:strike w:val="0"/>
                      <w:dstrike w:val="0"/>
                      <w:vanish w:val="0"/>
                      <w:color w:val="auto"/>
                      <w:spacing w:val="0"/>
                      <w:sz w:val="21"/>
                      <w:szCs w:val="21"/>
                      <w:highlight w:val="none"/>
                      <w:vertAlign w:val="superscript"/>
                      <w:lang w:eastAsia="zh-CN"/>
                    </w:rPr>
                    <w:t>3</w:t>
                  </w:r>
                </w:p>
              </w:tc>
              <w:tc>
                <w:tcPr>
                  <w:tcW w:w="285" w:type="pct"/>
                  <w:noWrap w:val="0"/>
                  <w:vAlign w:val="center"/>
                </w:tcPr>
                <w:p w14:paraId="4CEEBE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排放量</w:t>
                  </w:r>
                </w:p>
                <w:p w14:paraId="7DC573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t/a</w:t>
                  </w:r>
                </w:p>
              </w:tc>
              <w:tc>
                <w:tcPr>
                  <w:tcW w:w="204" w:type="pct"/>
                  <w:vMerge w:val="continue"/>
                  <w:noWrap w:val="0"/>
                  <w:vAlign w:val="center"/>
                </w:tcPr>
                <w:p w14:paraId="03D432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r>
            <w:tr w14:paraId="7DD90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restart"/>
                  <w:noWrap w:val="0"/>
                  <w:vAlign w:val="center"/>
                </w:tcPr>
                <w:p w14:paraId="485CCA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snapToGrid w:val="0"/>
                      <w:color w:val="auto"/>
                      <w:spacing w:val="0"/>
                      <w:sz w:val="21"/>
                      <w:szCs w:val="21"/>
                      <w:highlight w:val="none"/>
                      <w:lang w:val="en-US" w:eastAsia="zh-CN"/>
                    </w:rPr>
                    <w:t>碳纳米管烘干车间</w:t>
                  </w:r>
                  <w:r>
                    <w:rPr>
                      <w:rFonts w:hint="eastAsia" w:ascii="Times New Roman" w:hAnsi="Times New Roman" w:eastAsia="宋体" w:cs="宋体"/>
                      <w:caps w:val="0"/>
                      <w:snapToGrid w:val="0"/>
                      <w:color w:val="auto"/>
                      <w:spacing w:val="0"/>
                      <w:sz w:val="21"/>
                      <w:szCs w:val="21"/>
                      <w:highlight w:val="none"/>
                      <w:lang w:val="en-US" w:eastAsia="zh-CN"/>
                    </w:rPr>
                    <w:t>导热油炉</w:t>
                  </w:r>
                </w:p>
              </w:tc>
              <w:tc>
                <w:tcPr>
                  <w:tcW w:w="223" w:type="pct"/>
                  <w:vMerge w:val="restart"/>
                  <w:noWrap w:val="0"/>
                  <w:vAlign w:val="center"/>
                </w:tcPr>
                <w:p w14:paraId="472C66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rPr>
                  </w:pPr>
                  <w:r>
                    <w:rPr>
                      <w:rFonts w:hint="eastAsia" w:ascii="Times New Roman" w:hAnsi="Times New Roman" w:eastAsia="宋体" w:cs="宋体"/>
                      <w:caps w:val="0"/>
                      <w:color w:val="auto"/>
                      <w:spacing w:val="0"/>
                      <w:sz w:val="21"/>
                      <w:szCs w:val="21"/>
                      <w:highlight w:val="none"/>
                      <w:lang w:val="en-US" w:eastAsia="zh-CN"/>
                    </w:rPr>
                    <w:t>0.35MW</w:t>
                  </w:r>
                </w:p>
              </w:tc>
              <w:tc>
                <w:tcPr>
                  <w:tcW w:w="273" w:type="pct"/>
                  <w:vMerge w:val="restart"/>
                  <w:noWrap w:val="0"/>
                  <w:vAlign w:val="center"/>
                </w:tcPr>
                <w:p w14:paraId="0F1912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20米</w:t>
                  </w:r>
                  <w:r>
                    <w:rPr>
                      <w:rFonts w:hint="default" w:ascii="Times New Roman" w:hAnsi="Times New Roman" w:eastAsia="宋体" w:cs="宋体"/>
                      <w:caps w:val="0"/>
                      <w:color w:val="auto"/>
                      <w:spacing w:val="0"/>
                      <w:sz w:val="21"/>
                      <w:szCs w:val="21"/>
                      <w:highlight w:val="none"/>
                    </w:rPr>
                    <w:t>高烟囱</w:t>
                  </w:r>
                  <w:r>
                    <w:rPr>
                      <w:rFonts w:hint="eastAsia" w:ascii="Times New Roman" w:hAnsi="Times New Roman" w:eastAsia="宋体" w:cs="宋体"/>
                      <w:caps w:val="0"/>
                      <w:color w:val="auto"/>
                      <w:spacing w:val="0"/>
                      <w:sz w:val="21"/>
                      <w:szCs w:val="21"/>
                      <w:highlight w:val="none"/>
                      <w:lang w:val="en-US" w:eastAsia="zh-CN"/>
                    </w:rPr>
                    <w:t>DA003</w:t>
                  </w:r>
                </w:p>
              </w:tc>
              <w:tc>
                <w:tcPr>
                  <w:tcW w:w="335" w:type="pct"/>
                  <w:noWrap w:val="0"/>
                  <w:vAlign w:val="center"/>
                </w:tcPr>
                <w:p w14:paraId="0829F8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kern w:val="21"/>
                      <w:sz w:val="21"/>
                      <w:szCs w:val="21"/>
                      <w:highlight w:val="none"/>
                    </w:rPr>
                    <w:t>颗粒物</w:t>
                  </w:r>
                </w:p>
              </w:tc>
              <w:tc>
                <w:tcPr>
                  <w:tcW w:w="475" w:type="pct"/>
                  <w:noWrap w:val="0"/>
                  <w:vAlign w:val="center"/>
                </w:tcPr>
                <w:p w14:paraId="363EA9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产物系数法</w:t>
                  </w:r>
                </w:p>
              </w:tc>
              <w:tc>
                <w:tcPr>
                  <w:tcW w:w="307" w:type="pct"/>
                  <w:vMerge w:val="restart"/>
                  <w:noWrap w:val="0"/>
                  <w:vAlign w:val="center"/>
                </w:tcPr>
                <w:p w14:paraId="1D6097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lang w:val="en-US" w:eastAsia="zh-CN"/>
                    </w:rPr>
                    <w:t>2645799</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066</w:t>
                  </w:r>
                </w:p>
              </w:tc>
              <w:tc>
                <w:tcPr>
                  <w:tcW w:w="260" w:type="pct"/>
                  <w:noWrap w:val="0"/>
                  <w:vAlign w:val="center"/>
                </w:tcPr>
                <w:p w14:paraId="30948F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0.1082</w:t>
                  </w:r>
                </w:p>
              </w:tc>
              <w:tc>
                <w:tcPr>
                  <w:tcW w:w="265" w:type="pct"/>
                  <w:gridSpan w:val="2"/>
                  <w:noWrap w:val="0"/>
                  <w:vAlign w:val="center"/>
                </w:tcPr>
                <w:p w14:paraId="4F8CD8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0.00902</w:t>
                  </w:r>
                </w:p>
              </w:tc>
              <w:tc>
                <w:tcPr>
                  <w:tcW w:w="278" w:type="pct"/>
                  <w:gridSpan w:val="2"/>
                  <w:noWrap w:val="0"/>
                  <w:vAlign w:val="center"/>
                </w:tcPr>
                <w:p w14:paraId="1CD1C4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40.9133</w:t>
                  </w:r>
                </w:p>
              </w:tc>
              <w:tc>
                <w:tcPr>
                  <w:tcW w:w="396" w:type="pct"/>
                  <w:noWrap w:val="0"/>
                  <w:vAlign w:val="center"/>
                </w:tcPr>
                <w:p w14:paraId="30789C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布袋除尘器</w:t>
                  </w:r>
                </w:p>
              </w:tc>
              <w:tc>
                <w:tcPr>
                  <w:tcW w:w="374" w:type="pct"/>
                  <w:noWrap w:val="0"/>
                  <w:vAlign w:val="center"/>
                </w:tcPr>
                <w:p w14:paraId="047183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kern w:val="21"/>
                      <w:sz w:val="21"/>
                      <w:szCs w:val="21"/>
                      <w:highlight w:val="none"/>
                      <w:lang w:val="en-US" w:eastAsia="zh-CN"/>
                    </w:rPr>
                    <w:t>99.6</w:t>
                  </w:r>
                </w:p>
              </w:tc>
              <w:tc>
                <w:tcPr>
                  <w:tcW w:w="301" w:type="pct"/>
                  <w:noWrap w:val="0"/>
                  <w:vAlign w:val="center"/>
                </w:tcPr>
                <w:p w14:paraId="7EF69A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是</w:t>
                  </w:r>
                </w:p>
              </w:tc>
              <w:tc>
                <w:tcPr>
                  <w:tcW w:w="272" w:type="pct"/>
                  <w:noWrap w:val="0"/>
                  <w:vAlign w:val="center"/>
                </w:tcPr>
                <w:p w14:paraId="27D90D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lang w:val="en-US" w:eastAsia="zh-CN"/>
                    </w:rPr>
                    <w:t>产物系数法</w:t>
                  </w:r>
                </w:p>
              </w:tc>
              <w:tc>
                <w:tcPr>
                  <w:tcW w:w="245" w:type="pct"/>
                  <w:vMerge w:val="restart"/>
                  <w:noWrap w:val="0"/>
                  <w:vAlign w:val="center"/>
                </w:tcPr>
                <w:p w14:paraId="3862F9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rPr>
                  </w:pPr>
                  <w:r>
                    <w:rPr>
                      <w:rFonts w:hint="default" w:ascii="Times New Roman" w:hAnsi="Times New Roman" w:eastAsia="宋体" w:cs="宋体"/>
                      <w:caps w:val="0"/>
                      <w:color w:val="auto"/>
                      <w:spacing w:val="0"/>
                      <w:sz w:val="21"/>
                      <w:szCs w:val="21"/>
                      <w:highlight w:val="none"/>
                      <w:lang w:val="en-US" w:eastAsia="zh-CN"/>
                    </w:rPr>
                    <w:t>2645799</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066</w:t>
                  </w:r>
                </w:p>
              </w:tc>
              <w:tc>
                <w:tcPr>
                  <w:tcW w:w="308" w:type="pct"/>
                  <w:gridSpan w:val="2"/>
                  <w:noWrap w:val="0"/>
                  <w:vAlign w:val="center"/>
                </w:tcPr>
                <w:p w14:paraId="2EE4BC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0.08182</w:t>
                  </w:r>
                </w:p>
              </w:tc>
              <w:tc>
                <w:tcPr>
                  <w:tcW w:w="285" w:type="pct"/>
                  <w:noWrap w:val="0"/>
                  <w:vAlign w:val="center"/>
                </w:tcPr>
                <w:p w14:paraId="158889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0.0002165</w:t>
                  </w:r>
                </w:p>
              </w:tc>
              <w:tc>
                <w:tcPr>
                  <w:tcW w:w="204" w:type="pct"/>
                  <w:vMerge w:val="restart"/>
                  <w:noWrap w:val="0"/>
                  <w:vAlign w:val="center"/>
                </w:tcPr>
                <w:p w14:paraId="01DDDC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6000</w:t>
                  </w:r>
                </w:p>
              </w:tc>
            </w:tr>
            <w:tr w14:paraId="32D6E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noWrap w:val="0"/>
                  <w:vAlign w:val="center"/>
                </w:tcPr>
                <w:p w14:paraId="406F0D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23" w:type="pct"/>
                  <w:vMerge w:val="continue"/>
                  <w:noWrap w:val="0"/>
                  <w:vAlign w:val="center"/>
                </w:tcPr>
                <w:p w14:paraId="39E731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73" w:type="pct"/>
                  <w:vMerge w:val="continue"/>
                  <w:noWrap w:val="0"/>
                  <w:vAlign w:val="center"/>
                </w:tcPr>
                <w:p w14:paraId="69CF88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35" w:type="pct"/>
                  <w:noWrap w:val="0"/>
                  <w:vAlign w:val="center"/>
                </w:tcPr>
                <w:p w14:paraId="6FF9C8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kern w:val="21"/>
                      <w:sz w:val="21"/>
                      <w:szCs w:val="21"/>
                      <w:highlight w:val="none"/>
                    </w:rPr>
                    <w:t>SO</w:t>
                  </w:r>
                  <w:r>
                    <w:rPr>
                      <w:rFonts w:hint="default" w:ascii="Times New Roman" w:hAnsi="Times New Roman" w:eastAsia="宋体" w:cs="宋体"/>
                      <w:caps w:val="0"/>
                      <w:color w:val="auto"/>
                      <w:spacing w:val="0"/>
                      <w:kern w:val="21"/>
                      <w:sz w:val="21"/>
                      <w:szCs w:val="21"/>
                      <w:highlight w:val="none"/>
                      <w:vertAlign w:val="subscript"/>
                    </w:rPr>
                    <w:t>2</w:t>
                  </w:r>
                </w:p>
              </w:tc>
              <w:tc>
                <w:tcPr>
                  <w:tcW w:w="475" w:type="pct"/>
                  <w:noWrap w:val="0"/>
                  <w:vAlign w:val="center"/>
                </w:tcPr>
                <w:p w14:paraId="784A60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lang w:val="en-US" w:eastAsia="zh-CN"/>
                    </w:rPr>
                    <w:t>物料衡算法</w:t>
                  </w:r>
                </w:p>
              </w:tc>
              <w:tc>
                <w:tcPr>
                  <w:tcW w:w="307" w:type="pct"/>
                  <w:vMerge w:val="continue"/>
                  <w:noWrap w:val="0"/>
                  <w:vAlign w:val="center"/>
                </w:tcPr>
                <w:p w14:paraId="6B6753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60" w:type="pct"/>
                  <w:noWrap w:val="0"/>
                  <w:vAlign w:val="center"/>
                </w:tcPr>
                <w:p w14:paraId="694909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003955</w:t>
                  </w:r>
                </w:p>
              </w:tc>
              <w:tc>
                <w:tcPr>
                  <w:tcW w:w="265" w:type="pct"/>
                  <w:gridSpan w:val="2"/>
                  <w:noWrap w:val="0"/>
                  <w:vAlign w:val="center"/>
                </w:tcPr>
                <w:p w14:paraId="05CF9E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00066</w:t>
                  </w:r>
                </w:p>
              </w:tc>
              <w:tc>
                <w:tcPr>
                  <w:tcW w:w="278" w:type="pct"/>
                  <w:gridSpan w:val="2"/>
                  <w:noWrap w:val="0"/>
                  <w:vAlign w:val="center"/>
                </w:tcPr>
                <w:p w14:paraId="6BF9D8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1</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497</w:t>
                  </w:r>
                </w:p>
              </w:tc>
              <w:tc>
                <w:tcPr>
                  <w:tcW w:w="396" w:type="pct"/>
                  <w:noWrap w:val="0"/>
                  <w:vAlign w:val="center"/>
                </w:tcPr>
                <w:p w14:paraId="21FA6E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374" w:type="pct"/>
                  <w:noWrap w:val="0"/>
                  <w:vAlign w:val="center"/>
                </w:tcPr>
                <w:p w14:paraId="561BF0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kern w:val="21"/>
                      <w:sz w:val="21"/>
                      <w:szCs w:val="21"/>
                      <w:highlight w:val="none"/>
                    </w:rPr>
                    <w:t>/</w:t>
                  </w:r>
                </w:p>
              </w:tc>
              <w:tc>
                <w:tcPr>
                  <w:tcW w:w="301" w:type="pct"/>
                  <w:noWrap w:val="0"/>
                  <w:vAlign w:val="center"/>
                </w:tcPr>
                <w:p w14:paraId="5D9674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272" w:type="pct"/>
                  <w:noWrap w:val="0"/>
                  <w:vAlign w:val="center"/>
                </w:tcPr>
                <w:p w14:paraId="409A91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lang w:val="en-US" w:eastAsia="zh-CN"/>
                    </w:rPr>
                    <w:t>物料衡算法</w:t>
                  </w:r>
                </w:p>
              </w:tc>
              <w:tc>
                <w:tcPr>
                  <w:tcW w:w="245" w:type="pct"/>
                  <w:vMerge w:val="continue"/>
                  <w:noWrap w:val="0"/>
                  <w:vAlign w:val="center"/>
                </w:tcPr>
                <w:p w14:paraId="002718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08" w:type="pct"/>
                  <w:gridSpan w:val="2"/>
                  <w:noWrap w:val="0"/>
                  <w:vAlign w:val="center"/>
                </w:tcPr>
                <w:p w14:paraId="359614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1</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497</w:t>
                  </w:r>
                </w:p>
              </w:tc>
              <w:tc>
                <w:tcPr>
                  <w:tcW w:w="285" w:type="pct"/>
                  <w:noWrap w:val="0"/>
                  <w:vAlign w:val="center"/>
                </w:tcPr>
                <w:p w14:paraId="57FCD0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003955</w:t>
                  </w:r>
                </w:p>
              </w:tc>
              <w:tc>
                <w:tcPr>
                  <w:tcW w:w="204" w:type="pct"/>
                  <w:vMerge w:val="continue"/>
                  <w:noWrap w:val="0"/>
                  <w:vAlign w:val="center"/>
                </w:tcPr>
                <w:p w14:paraId="264F5C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r>
            <w:tr w14:paraId="3369A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noWrap w:val="0"/>
                  <w:vAlign w:val="center"/>
                </w:tcPr>
                <w:p w14:paraId="1FBBAA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23" w:type="pct"/>
                  <w:vMerge w:val="continue"/>
                  <w:noWrap w:val="0"/>
                  <w:vAlign w:val="center"/>
                </w:tcPr>
                <w:p w14:paraId="7FDF1F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73" w:type="pct"/>
                  <w:vMerge w:val="continue"/>
                  <w:noWrap w:val="0"/>
                  <w:vAlign w:val="center"/>
                </w:tcPr>
                <w:p w14:paraId="0F7131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35" w:type="pct"/>
                  <w:noWrap w:val="0"/>
                  <w:vAlign w:val="center"/>
                </w:tcPr>
                <w:p w14:paraId="209247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kern w:val="21"/>
                      <w:sz w:val="21"/>
                      <w:szCs w:val="21"/>
                      <w:highlight w:val="none"/>
                    </w:rPr>
                    <w:t>NO</w:t>
                  </w:r>
                  <w:r>
                    <w:rPr>
                      <w:rFonts w:hint="default" w:ascii="Times New Roman" w:hAnsi="Times New Roman" w:eastAsia="宋体" w:cs="宋体"/>
                      <w:caps w:val="0"/>
                      <w:color w:val="auto"/>
                      <w:spacing w:val="0"/>
                      <w:kern w:val="21"/>
                      <w:sz w:val="21"/>
                      <w:szCs w:val="21"/>
                      <w:highlight w:val="none"/>
                      <w:vertAlign w:val="subscript"/>
                    </w:rPr>
                    <w:t>X</w:t>
                  </w:r>
                </w:p>
              </w:tc>
              <w:tc>
                <w:tcPr>
                  <w:tcW w:w="475" w:type="pct"/>
                  <w:noWrap w:val="0"/>
                  <w:vAlign w:val="center"/>
                </w:tcPr>
                <w:p w14:paraId="2B3A91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lang w:val="en-US" w:eastAsia="zh-CN"/>
                    </w:rPr>
                    <w:t>物料衡算法</w:t>
                  </w:r>
                </w:p>
              </w:tc>
              <w:tc>
                <w:tcPr>
                  <w:tcW w:w="307" w:type="pct"/>
                  <w:vMerge w:val="continue"/>
                  <w:noWrap w:val="0"/>
                  <w:vAlign w:val="center"/>
                </w:tcPr>
                <w:p w14:paraId="75F975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60" w:type="pct"/>
                  <w:noWrap w:val="0"/>
                  <w:vAlign w:val="center"/>
                </w:tcPr>
                <w:p w14:paraId="699831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529t</w:t>
                  </w:r>
                </w:p>
              </w:tc>
              <w:tc>
                <w:tcPr>
                  <w:tcW w:w="265" w:type="pct"/>
                  <w:gridSpan w:val="2"/>
                  <w:noWrap w:val="0"/>
                  <w:vAlign w:val="center"/>
                </w:tcPr>
                <w:p w14:paraId="75A7F8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08815</w:t>
                  </w:r>
                </w:p>
              </w:tc>
              <w:tc>
                <w:tcPr>
                  <w:tcW w:w="278" w:type="pct"/>
                  <w:gridSpan w:val="2"/>
                  <w:noWrap w:val="0"/>
                  <w:vAlign w:val="center"/>
                </w:tcPr>
                <w:p w14:paraId="753C44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200</w:t>
                  </w:r>
                </w:p>
              </w:tc>
              <w:tc>
                <w:tcPr>
                  <w:tcW w:w="396" w:type="pct"/>
                  <w:noWrap w:val="0"/>
                  <w:vAlign w:val="center"/>
                </w:tcPr>
                <w:p w14:paraId="137284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lang w:eastAsia="zh-CN"/>
                    </w:rPr>
                    <w:t>低氮燃烧</w:t>
                  </w:r>
                </w:p>
              </w:tc>
              <w:tc>
                <w:tcPr>
                  <w:tcW w:w="374" w:type="pct"/>
                  <w:noWrap w:val="0"/>
                  <w:vAlign w:val="center"/>
                </w:tcPr>
                <w:p w14:paraId="73ACB8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kern w:val="21"/>
                      <w:sz w:val="21"/>
                      <w:szCs w:val="21"/>
                      <w:highlight w:val="none"/>
                      <w:lang w:val="en-US" w:eastAsia="zh-CN"/>
                    </w:rPr>
                    <w:t>/</w:t>
                  </w:r>
                </w:p>
              </w:tc>
              <w:tc>
                <w:tcPr>
                  <w:tcW w:w="301" w:type="pct"/>
                  <w:noWrap w:val="0"/>
                  <w:vAlign w:val="center"/>
                </w:tcPr>
                <w:p w14:paraId="05ABF6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是</w:t>
                  </w:r>
                </w:p>
              </w:tc>
              <w:tc>
                <w:tcPr>
                  <w:tcW w:w="272" w:type="pct"/>
                  <w:noWrap w:val="0"/>
                  <w:vAlign w:val="center"/>
                </w:tcPr>
                <w:p w14:paraId="70E925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lang w:val="en-US" w:eastAsia="zh-CN"/>
                    </w:rPr>
                    <w:t>物料衡算法</w:t>
                  </w:r>
                </w:p>
              </w:tc>
              <w:tc>
                <w:tcPr>
                  <w:tcW w:w="245" w:type="pct"/>
                  <w:vMerge w:val="continue"/>
                  <w:noWrap w:val="0"/>
                  <w:vAlign w:val="center"/>
                </w:tcPr>
                <w:p w14:paraId="2B756E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08" w:type="pct"/>
                  <w:gridSpan w:val="2"/>
                  <w:noWrap w:val="0"/>
                  <w:vAlign w:val="center"/>
                </w:tcPr>
                <w:p w14:paraId="3CD1E0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200</w:t>
                  </w:r>
                </w:p>
              </w:tc>
              <w:tc>
                <w:tcPr>
                  <w:tcW w:w="285" w:type="pct"/>
                  <w:noWrap w:val="0"/>
                  <w:vAlign w:val="center"/>
                </w:tcPr>
                <w:p w14:paraId="1B5D41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529</w:t>
                  </w:r>
                </w:p>
              </w:tc>
              <w:tc>
                <w:tcPr>
                  <w:tcW w:w="204" w:type="pct"/>
                  <w:vMerge w:val="continue"/>
                  <w:noWrap w:val="0"/>
                  <w:vAlign w:val="center"/>
                </w:tcPr>
                <w:p w14:paraId="3FF20D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r>
            <w:tr w14:paraId="15030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noWrap w:val="0"/>
                  <w:vAlign w:val="center"/>
                </w:tcPr>
                <w:p w14:paraId="046919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23" w:type="pct"/>
                  <w:vMerge w:val="continue"/>
                  <w:noWrap w:val="0"/>
                  <w:vAlign w:val="center"/>
                </w:tcPr>
                <w:p w14:paraId="5092F5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73" w:type="pct"/>
                  <w:vMerge w:val="continue"/>
                  <w:noWrap w:val="0"/>
                  <w:vAlign w:val="center"/>
                </w:tcPr>
                <w:p w14:paraId="2398C8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35" w:type="pct"/>
                  <w:noWrap w:val="0"/>
                  <w:vAlign w:val="center"/>
                </w:tcPr>
                <w:p w14:paraId="41A421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default" w:ascii="Times New Roman" w:hAnsi="Times New Roman" w:eastAsia="宋体" w:cs="宋体"/>
                      <w:caps w:val="0"/>
                      <w:color w:val="auto"/>
                      <w:spacing w:val="0"/>
                      <w:kern w:val="21"/>
                      <w:sz w:val="21"/>
                      <w:szCs w:val="21"/>
                      <w:highlight w:val="none"/>
                      <w:lang w:val="en-US" w:eastAsia="zh-CN"/>
                    </w:rPr>
                    <w:t>烟气黑度</w:t>
                  </w:r>
                </w:p>
              </w:tc>
              <w:tc>
                <w:tcPr>
                  <w:tcW w:w="475" w:type="pct"/>
                  <w:noWrap w:val="0"/>
                  <w:vAlign w:val="center"/>
                </w:tcPr>
                <w:p w14:paraId="06D4FE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307" w:type="pct"/>
                  <w:vMerge w:val="continue"/>
                  <w:noWrap w:val="0"/>
                  <w:vAlign w:val="center"/>
                </w:tcPr>
                <w:p w14:paraId="2AD199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804" w:type="pct"/>
                  <w:gridSpan w:val="5"/>
                  <w:noWrap w:val="0"/>
                  <w:vAlign w:val="center"/>
                </w:tcPr>
                <w:p w14:paraId="1C27F9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＜1（林格曼等级）</w:t>
                  </w:r>
                </w:p>
              </w:tc>
              <w:tc>
                <w:tcPr>
                  <w:tcW w:w="396" w:type="pct"/>
                  <w:noWrap w:val="0"/>
                  <w:vAlign w:val="center"/>
                </w:tcPr>
                <w:p w14:paraId="44D454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374" w:type="pct"/>
                  <w:noWrap w:val="0"/>
                  <w:vAlign w:val="center"/>
                </w:tcPr>
                <w:p w14:paraId="5AE60C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default" w:ascii="Times New Roman" w:hAnsi="Times New Roman" w:eastAsia="宋体" w:cs="宋体"/>
                      <w:caps w:val="0"/>
                      <w:color w:val="auto"/>
                      <w:spacing w:val="0"/>
                      <w:kern w:val="21"/>
                      <w:sz w:val="21"/>
                      <w:szCs w:val="21"/>
                      <w:highlight w:val="none"/>
                      <w:lang w:val="en-US" w:eastAsia="zh-CN"/>
                    </w:rPr>
                    <w:t>/</w:t>
                  </w:r>
                </w:p>
              </w:tc>
              <w:tc>
                <w:tcPr>
                  <w:tcW w:w="301" w:type="pct"/>
                  <w:noWrap w:val="0"/>
                  <w:vAlign w:val="center"/>
                </w:tcPr>
                <w:p w14:paraId="43DE3F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272" w:type="pct"/>
                  <w:noWrap w:val="0"/>
                  <w:vAlign w:val="center"/>
                </w:tcPr>
                <w:p w14:paraId="29FE14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245" w:type="pct"/>
                  <w:vMerge w:val="continue"/>
                  <w:noWrap w:val="0"/>
                  <w:vAlign w:val="center"/>
                </w:tcPr>
                <w:p w14:paraId="3CB988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593" w:type="pct"/>
                  <w:gridSpan w:val="3"/>
                  <w:noWrap w:val="0"/>
                  <w:vAlign w:val="center"/>
                </w:tcPr>
                <w:p w14:paraId="3CE255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＜1（林格曼等级）</w:t>
                  </w:r>
                </w:p>
              </w:tc>
              <w:tc>
                <w:tcPr>
                  <w:tcW w:w="204" w:type="pct"/>
                  <w:vMerge w:val="continue"/>
                  <w:noWrap w:val="0"/>
                  <w:vAlign w:val="center"/>
                </w:tcPr>
                <w:p w14:paraId="3889C9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r>
            <w:tr w14:paraId="595CB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restart"/>
                  <w:noWrap w:val="0"/>
                  <w:vAlign w:val="center"/>
                </w:tcPr>
                <w:p w14:paraId="084282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snapToGrid w:val="0"/>
                      <w:color w:val="auto"/>
                      <w:spacing w:val="0"/>
                      <w:sz w:val="21"/>
                      <w:szCs w:val="21"/>
                      <w:highlight w:val="none"/>
                      <w:lang w:val="en-US" w:eastAsia="zh-CN"/>
                    </w:rPr>
                    <w:t>石墨烘干车间</w:t>
                  </w:r>
                  <w:r>
                    <w:rPr>
                      <w:rFonts w:hint="eastAsia" w:ascii="Times New Roman" w:hAnsi="Times New Roman" w:eastAsia="宋体" w:cs="宋体"/>
                      <w:caps w:val="0"/>
                      <w:snapToGrid w:val="0"/>
                      <w:color w:val="auto"/>
                      <w:spacing w:val="0"/>
                      <w:sz w:val="21"/>
                      <w:szCs w:val="21"/>
                      <w:highlight w:val="none"/>
                      <w:lang w:val="en-US" w:eastAsia="zh-CN"/>
                    </w:rPr>
                    <w:t>导热油炉</w:t>
                  </w:r>
                </w:p>
              </w:tc>
              <w:tc>
                <w:tcPr>
                  <w:tcW w:w="223" w:type="pct"/>
                  <w:vMerge w:val="restart"/>
                  <w:noWrap w:val="0"/>
                  <w:vAlign w:val="center"/>
                </w:tcPr>
                <w:p w14:paraId="548CB5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lang w:val="en-US" w:eastAsia="zh-CN"/>
                    </w:rPr>
                    <w:t>0.35MW</w:t>
                  </w:r>
                </w:p>
              </w:tc>
              <w:tc>
                <w:tcPr>
                  <w:tcW w:w="273" w:type="pct"/>
                  <w:vMerge w:val="restart"/>
                  <w:noWrap w:val="0"/>
                  <w:vAlign w:val="center"/>
                </w:tcPr>
                <w:p w14:paraId="50EF82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lang w:val="en-US" w:eastAsia="zh-CN"/>
                    </w:rPr>
                    <w:t>20米</w:t>
                  </w:r>
                  <w:r>
                    <w:rPr>
                      <w:rFonts w:hint="default" w:ascii="Times New Roman" w:hAnsi="Times New Roman" w:eastAsia="宋体" w:cs="宋体"/>
                      <w:caps w:val="0"/>
                      <w:color w:val="auto"/>
                      <w:spacing w:val="0"/>
                      <w:sz w:val="21"/>
                      <w:szCs w:val="21"/>
                      <w:highlight w:val="none"/>
                    </w:rPr>
                    <w:t>高烟囱</w:t>
                  </w:r>
                  <w:r>
                    <w:rPr>
                      <w:rFonts w:hint="eastAsia" w:ascii="Times New Roman" w:hAnsi="Times New Roman" w:eastAsia="宋体" w:cs="宋体"/>
                      <w:caps w:val="0"/>
                      <w:color w:val="auto"/>
                      <w:spacing w:val="0"/>
                      <w:sz w:val="21"/>
                      <w:szCs w:val="21"/>
                      <w:highlight w:val="none"/>
                      <w:lang w:val="en-US" w:eastAsia="zh-CN"/>
                    </w:rPr>
                    <w:t>DA004</w:t>
                  </w:r>
                </w:p>
              </w:tc>
              <w:tc>
                <w:tcPr>
                  <w:tcW w:w="335" w:type="pct"/>
                  <w:noWrap w:val="0"/>
                  <w:vAlign w:val="center"/>
                </w:tcPr>
                <w:p w14:paraId="7BC5A4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default" w:ascii="Times New Roman" w:hAnsi="Times New Roman" w:eastAsia="宋体" w:cs="宋体"/>
                      <w:caps w:val="0"/>
                      <w:color w:val="auto"/>
                      <w:spacing w:val="0"/>
                      <w:kern w:val="21"/>
                      <w:sz w:val="21"/>
                      <w:szCs w:val="21"/>
                      <w:highlight w:val="none"/>
                    </w:rPr>
                    <w:t>颗粒物</w:t>
                  </w:r>
                </w:p>
              </w:tc>
              <w:tc>
                <w:tcPr>
                  <w:tcW w:w="475" w:type="pct"/>
                  <w:noWrap w:val="0"/>
                  <w:vAlign w:val="center"/>
                </w:tcPr>
                <w:p w14:paraId="3441BE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产物系数法</w:t>
                  </w:r>
                </w:p>
              </w:tc>
              <w:tc>
                <w:tcPr>
                  <w:tcW w:w="307" w:type="pct"/>
                  <w:vMerge w:val="restart"/>
                  <w:noWrap w:val="0"/>
                  <w:vAlign w:val="center"/>
                </w:tcPr>
                <w:p w14:paraId="1C4AC4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lang w:val="en-US" w:eastAsia="zh-CN"/>
                    </w:rPr>
                    <w:t>2645799</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066</w:t>
                  </w:r>
                </w:p>
              </w:tc>
              <w:tc>
                <w:tcPr>
                  <w:tcW w:w="260" w:type="pct"/>
                  <w:noWrap w:val="0"/>
                  <w:vAlign w:val="center"/>
                </w:tcPr>
                <w:p w14:paraId="3A0E6C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0.1082</w:t>
                  </w:r>
                </w:p>
              </w:tc>
              <w:tc>
                <w:tcPr>
                  <w:tcW w:w="265" w:type="pct"/>
                  <w:gridSpan w:val="2"/>
                  <w:noWrap w:val="0"/>
                  <w:vAlign w:val="center"/>
                </w:tcPr>
                <w:p w14:paraId="543274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0.00902</w:t>
                  </w:r>
                </w:p>
              </w:tc>
              <w:tc>
                <w:tcPr>
                  <w:tcW w:w="278" w:type="pct"/>
                  <w:gridSpan w:val="2"/>
                  <w:noWrap w:val="0"/>
                  <w:vAlign w:val="center"/>
                </w:tcPr>
                <w:p w14:paraId="510AC2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40.9133</w:t>
                  </w:r>
                </w:p>
              </w:tc>
              <w:tc>
                <w:tcPr>
                  <w:tcW w:w="396" w:type="pct"/>
                  <w:noWrap w:val="0"/>
                  <w:vAlign w:val="center"/>
                </w:tcPr>
                <w:p w14:paraId="3643D9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布袋除尘器</w:t>
                  </w:r>
                </w:p>
              </w:tc>
              <w:tc>
                <w:tcPr>
                  <w:tcW w:w="374" w:type="pct"/>
                  <w:noWrap w:val="0"/>
                  <w:vAlign w:val="center"/>
                </w:tcPr>
                <w:p w14:paraId="154F0B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eastAsia" w:ascii="Times New Roman" w:hAnsi="Times New Roman" w:eastAsia="宋体" w:cs="宋体"/>
                      <w:caps w:val="0"/>
                      <w:color w:val="auto"/>
                      <w:spacing w:val="0"/>
                      <w:kern w:val="21"/>
                      <w:sz w:val="21"/>
                      <w:szCs w:val="21"/>
                      <w:highlight w:val="none"/>
                      <w:lang w:val="en-US" w:eastAsia="zh-CN"/>
                    </w:rPr>
                    <w:t>99.6</w:t>
                  </w:r>
                </w:p>
              </w:tc>
              <w:tc>
                <w:tcPr>
                  <w:tcW w:w="301" w:type="pct"/>
                  <w:noWrap w:val="0"/>
                  <w:vAlign w:val="center"/>
                </w:tcPr>
                <w:p w14:paraId="28FCE6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是</w:t>
                  </w:r>
                </w:p>
              </w:tc>
              <w:tc>
                <w:tcPr>
                  <w:tcW w:w="272" w:type="pct"/>
                  <w:noWrap w:val="0"/>
                  <w:vAlign w:val="center"/>
                </w:tcPr>
                <w:p w14:paraId="647464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产物系数法</w:t>
                  </w:r>
                </w:p>
              </w:tc>
              <w:tc>
                <w:tcPr>
                  <w:tcW w:w="245" w:type="pct"/>
                  <w:vMerge w:val="restart"/>
                  <w:noWrap w:val="0"/>
                  <w:vAlign w:val="center"/>
                </w:tcPr>
                <w:p w14:paraId="2B055D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lang w:val="en-US" w:eastAsia="zh-CN"/>
                    </w:rPr>
                    <w:t>2645799</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066</w:t>
                  </w:r>
                </w:p>
              </w:tc>
              <w:tc>
                <w:tcPr>
                  <w:tcW w:w="308" w:type="pct"/>
                  <w:gridSpan w:val="2"/>
                  <w:noWrap w:val="0"/>
                  <w:vAlign w:val="center"/>
                </w:tcPr>
                <w:p w14:paraId="0E0BB1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0.08182</w:t>
                  </w:r>
                </w:p>
              </w:tc>
              <w:tc>
                <w:tcPr>
                  <w:tcW w:w="285" w:type="pct"/>
                  <w:noWrap w:val="0"/>
                  <w:vAlign w:val="center"/>
                </w:tcPr>
                <w:p w14:paraId="7D7A5C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0.0002165</w:t>
                  </w:r>
                </w:p>
              </w:tc>
              <w:tc>
                <w:tcPr>
                  <w:tcW w:w="204" w:type="pct"/>
                  <w:vMerge w:val="restart"/>
                  <w:noWrap w:val="0"/>
                  <w:vAlign w:val="center"/>
                </w:tcPr>
                <w:p w14:paraId="5BC72B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lang w:val="en-US" w:eastAsia="zh-CN"/>
                    </w:rPr>
                    <w:t>6000</w:t>
                  </w:r>
                </w:p>
              </w:tc>
            </w:tr>
            <w:tr w14:paraId="16111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noWrap w:val="0"/>
                  <w:vAlign w:val="center"/>
                </w:tcPr>
                <w:p w14:paraId="2441CF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23" w:type="pct"/>
                  <w:vMerge w:val="continue"/>
                  <w:noWrap w:val="0"/>
                  <w:vAlign w:val="center"/>
                </w:tcPr>
                <w:p w14:paraId="3922AD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73" w:type="pct"/>
                  <w:vMerge w:val="continue"/>
                  <w:noWrap w:val="0"/>
                  <w:vAlign w:val="center"/>
                </w:tcPr>
                <w:p w14:paraId="200CDB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35" w:type="pct"/>
                  <w:noWrap w:val="0"/>
                  <w:vAlign w:val="center"/>
                </w:tcPr>
                <w:p w14:paraId="59EF10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default" w:ascii="Times New Roman" w:hAnsi="Times New Roman" w:eastAsia="宋体" w:cs="宋体"/>
                      <w:caps w:val="0"/>
                      <w:color w:val="auto"/>
                      <w:spacing w:val="0"/>
                      <w:kern w:val="21"/>
                      <w:sz w:val="21"/>
                      <w:szCs w:val="21"/>
                      <w:highlight w:val="none"/>
                    </w:rPr>
                    <w:t>SO</w:t>
                  </w:r>
                  <w:r>
                    <w:rPr>
                      <w:rFonts w:hint="default" w:ascii="Times New Roman" w:hAnsi="Times New Roman" w:eastAsia="宋体" w:cs="宋体"/>
                      <w:caps w:val="0"/>
                      <w:color w:val="auto"/>
                      <w:spacing w:val="0"/>
                      <w:kern w:val="21"/>
                      <w:sz w:val="21"/>
                      <w:szCs w:val="21"/>
                      <w:highlight w:val="none"/>
                      <w:vertAlign w:val="subscript"/>
                    </w:rPr>
                    <w:t>2</w:t>
                  </w:r>
                </w:p>
              </w:tc>
              <w:tc>
                <w:tcPr>
                  <w:tcW w:w="475" w:type="pct"/>
                  <w:noWrap w:val="0"/>
                  <w:vAlign w:val="center"/>
                </w:tcPr>
                <w:p w14:paraId="69E94D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物料衡算法</w:t>
                  </w:r>
                </w:p>
              </w:tc>
              <w:tc>
                <w:tcPr>
                  <w:tcW w:w="307" w:type="pct"/>
                  <w:vMerge w:val="continue"/>
                  <w:noWrap w:val="0"/>
                  <w:vAlign w:val="center"/>
                </w:tcPr>
                <w:p w14:paraId="248EDC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60" w:type="pct"/>
                  <w:noWrap w:val="0"/>
                  <w:vAlign w:val="center"/>
                </w:tcPr>
                <w:p w14:paraId="69A250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003955</w:t>
                  </w:r>
                </w:p>
              </w:tc>
              <w:tc>
                <w:tcPr>
                  <w:tcW w:w="265" w:type="pct"/>
                  <w:gridSpan w:val="2"/>
                  <w:noWrap w:val="0"/>
                  <w:vAlign w:val="center"/>
                </w:tcPr>
                <w:p w14:paraId="767B90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00066</w:t>
                  </w:r>
                </w:p>
              </w:tc>
              <w:tc>
                <w:tcPr>
                  <w:tcW w:w="278" w:type="pct"/>
                  <w:gridSpan w:val="2"/>
                  <w:noWrap w:val="0"/>
                  <w:vAlign w:val="center"/>
                </w:tcPr>
                <w:p w14:paraId="4F8B2F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1</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497</w:t>
                  </w:r>
                </w:p>
              </w:tc>
              <w:tc>
                <w:tcPr>
                  <w:tcW w:w="396" w:type="pct"/>
                  <w:noWrap w:val="0"/>
                  <w:vAlign w:val="center"/>
                </w:tcPr>
                <w:p w14:paraId="4C6665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374" w:type="pct"/>
                  <w:noWrap w:val="0"/>
                  <w:vAlign w:val="center"/>
                </w:tcPr>
                <w:p w14:paraId="109AAA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default" w:ascii="Times New Roman" w:hAnsi="Times New Roman" w:eastAsia="宋体" w:cs="宋体"/>
                      <w:caps w:val="0"/>
                      <w:color w:val="auto"/>
                      <w:spacing w:val="0"/>
                      <w:kern w:val="21"/>
                      <w:sz w:val="21"/>
                      <w:szCs w:val="21"/>
                      <w:highlight w:val="none"/>
                    </w:rPr>
                    <w:t>/</w:t>
                  </w:r>
                </w:p>
              </w:tc>
              <w:tc>
                <w:tcPr>
                  <w:tcW w:w="301" w:type="pct"/>
                  <w:noWrap w:val="0"/>
                  <w:vAlign w:val="center"/>
                </w:tcPr>
                <w:p w14:paraId="3FE00B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272" w:type="pct"/>
                  <w:noWrap w:val="0"/>
                  <w:vAlign w:val="center"/>
                </w:tcPr>
                <w:p w14:paraId="088541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物料衡算法</w:t>
                  </w:r>
                </w:p>
              </w:tc>
              <w:tc>
                <w:tcPr>
                  <w:tcW w:w="245" w:type="pct"/>
                  <w:vMerge w:val="continue"/>
                  <w:noWrap w:val="0"/>
                  <w:vAlign w:val="center"/>
                </w:tcPr>
                <w:p w14:paraId="303526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08" w:type="pct"/>
                  <w:gridSpan w:val="2"/>
                  <w:noWrap w:val="0"/>
                  <w:vAlign w:val="center"/>
                </w:tcPr>
                <w:p w14:paraId="0F4359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1</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497</w:t>
                  </w:r>
                </w:p>
              </w:tc>
              <w:tc>
                <w:tcPr>
                  <w:tcW w:w="285" w:type="pct"/>
                  <w:noWrap w:val="0"/>
                  <w:vAlign w:val="center"/>
                </w:tcPr>
                <w:p w14:paraId="5C625B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003955</w:t>
                  </w:r>
                </w:p>
              </w:tc>
              <w:tc>
                <w:tcPr>
                  <w:tcW w:w="204" w:type="pct"/>
                  <w:vMerge w:val="continue"/>
                  <w:noWrap w:val="0"/>
                  <w:vAlign w:val="center"/>
                </w:tcPr>
                <w:p w14:paraId="1FE5FB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r>
            <w:tr w14:paraId="2EDDB0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noWrap w:val="0"/>
                  <w:vAlign w:val="center"/>
                </w:tcPr>
                <w:p w14:paraId="369CD9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23" w:type="pct"/>
                  <w:vMerge w:val="continue"/>
                  <w:noWrap w:val="0"/>
                  <w:vAlign w:val="center"/>
                </w:tcPr>
                <w:p w14:paraId="5E16CC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73" w:type="pct"/>
                  <w:vMerge w:val="continue"/>
                  <w:noWrap w:val="0"/>
                  <w:vAlign w:val="center"/>
                </w:tcPr>
                <w:p w14:paraId="7B92A0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35" w:type="pct"/>
                  <w:noWrap w:val="0"/>
                  <w:vAlign w:val="center"/>
                </w:tcPr>
                <w:p w14:paraId="7F9AD1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default" w:ascii="Times New Roman" w:hAnsi="Times New Roman" w:eastAsia="宋体" w:cs="宋体"/>
                      <w:caps w:val="0"/>
                      <w:color w:val="auto"/>
                      <w:spacing w:val="0"/>
                      <w:kern w:val="21"/>
                      <w:sz w:val="21"/>
                      <w:szCs w:val="21"/>
                      <w:highlight w:val="none"/>
                    </w:rPr>
                    <w:t>NO</w:t>
                  </w:r>
                  <w:r>
                    <w:rPr>
                      <w:rFonts w:hint="default" w:ascii="Times New Roman" w:hAnsi="Times New Roman" w:eastAsia="宋体" w:cs="宋体"/>
                      <w:caps w:val="0"/>
                      <w:color w:val="auto"/>
                      <w:spacing w:val="0"/>
                      <w:kern w:val="21"/>
                      <w:sz w:val="21"/>
                      <w:szCs w:val="21"/>
                      <w:highlight w:val="none"/>
                      <w:vertAlign w:val="subscript"/>
                    </w:rPr>
                    <w:t>X</w:t>
                  </w:r>
                </w:p>
              </w:tc>
              <w:tc>
                <w:tcPr>
                  <w:tcW w:w="475" w:type="pct"/>
                  <w:noWrap w:val="0"/>
                  <w:vAlign w:val="center"/>
                </w:tcPr>
                <w:p w14:paraId="1B3E9C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物料衡算法</w:t>
                  </w:r>
                </w:p>
              </w:tc>
              <w:tc>
                <w:tcPr>
                  <w:tcW w:w="307" w:type="pct"/>
                  <w:vMerge w:val="continue"/>
                  <w:noWrap w:val="0"/>
                  <w:vAlign w:val="center"/>
                </w:tcPr>
                <w:p w14:paraId="620781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60" w:type="pct"/>
                  <w:noWrap w:val="0"/>
                  <w:vAlign w:val="center"/>
                </w:tcPr>
                <w:p w14:paraId="301F7D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529t</w:t>
                  </w:r>
                </w:p>
              </w:tc>
              <w:tc>
                <w:tcPr>
                  <w:tcW w:w="265" w:type="pct"/>
                  <w:gridSpan w:val="2"/>
                  <w:noWrap w:val="0"/>
                  <w:vAlign w:val="center"/>
                </w:tcPr>
                <w:p w14:paraId="06400E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08815</w:t>
                  </w:r>
                </w:p>
              </w:tc>
              <w:tc>
                <w:tcPr>
                  <w:tcW w:w="278" w:type="pct"/>
                  <w:gridSpan w:val="2"/>
                  <w:noWrap w:val="0"/>
                  <w:vAlign w:val="center"/>
                </w:tcPr>
                <w:p w14:paraId="6B650A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200</w:t>
                  </w:r>
                </w:p>
              </w:tc>
              <w:tc>
                <w:tcPr>
                  <w:tcW w:w="396" w:type="pct"/>
                  <w:noWrap w:val="0"/>
                  <w:vAlign w:val="center"/>
                </w:tcPr>
                <w:p w14:paraId="307AD2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eastAsia="zh-CN"/>
                    </w:rPr>
                    <w:t>低氮燃烧</w:t>
                  </w:r>
                </w:p>
              </w:tc>
              <w:tc>
                <w:tcPr>
                  <w:tcW w:w="374" w:type="pct"/>
                  <w:noWrap w:val="0"/>
                  <w:vAlign w:val="center"/>
                </w:tcPr>
                <w:p w14:paraId="6EBE30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default" w:ascii="Times New Roman" w:hAnsi="Times New Roman" w:eastAsia="宋体" w:cs="宋体"/>
                      <w:caps w:val="0"/>
                      <w:color w:val="auto"/>
                      <w:spacing w:val="0"/>
                      <w:kern w:val="21"/>
                      <w:sz w:val="21"/>
                      <w:szCs w:val="21"/>
                      <w:highlight w:val="none"/>
                      <w:lang w:val="en-US" w:eastAsia="zh-CN"/>
                    </w:rPr>
                    <w:t>/</w:t>
                  </w:r>
                </w:p>
              </w:tc>
              <w:tc>
                <w:tcPr>
                  <w:tcW w:w="301" w:type="pct"/>
                  <w:noWrap w:val="0"/>
                  <w:vAlign w:val="center"/>
                </w:tcPr>
                <w:p w14:paraId="35388C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是</w:t>
                  </w:r>
                </w:p>
              </w:tc>
              <w:tc>
                <w:tcPr>
                  <w:tcW w:w="272" w:type="pct"/>
                  <w:noWrap w:val="0"/>
                  <w:vAlign w:val="center"/>
                </w:tcPr>
                <w:p w14:paraId="41B5CD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物料衡算法</w:t>
                  </w:r>
                </w:p>
              </w:tc>
              <w:tc>
                <w:tcPr>
                  <w:tcW w:w="245" w:type="pct"/>
                  <w:vMerge w:val="continue"/>
                  <w:noWrap w:val="0"/>
                  <w:vAlign w:val="center"/>
                </w:tcPr>
                <w:p w14:paraId="19CF1C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08" w:type="pct"/>
                  <w:gridSpan w:val="2"/>
                  <w:noWrap w:val="0"/>
                  <w:vAlign w:val="center"/>
                </w:tcPr>
                <w:p w14:paraId="4C0464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200</w:t>
                  </w:r>
                </w:p>
              </w:tc>
              <w:tc>
                <w:tcPr>
                  <w:tcW w:w="285" w:type="pct"/>
                  <w:noWrap w:val="0"/>
                  <w:vAlign w:val="center"/>
                </w:tcPr>
                <w:p w14:paraId="742282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529</w:t>
                  </w:r>
                </w:p>
              </w:tc>
              <w:tc>
                <w:tcPr>
                  <w:tcW w:w="204" w:type="pct"/>
                  <w:vMerge w:val="continue"/>
                  <w:noWrap w:val="0"/>
                  <w:vAlign w:val="center"/>
                </w:tcPr>
                <w:p w14:paraId="2694D5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r>
            <w:tr w14:paraId="67821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noWrap w:val="0"/>
                  <w:vAlign w:val="center"/>
                </w:tcPr>
                <w:p w14:paraId="7FB11B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23" w:type="pct"/>
                  <w:vMerge w:val="continue"/>
                  <w:noWrap w:val="0"/>
                  <w:vAlign w:val="center"/>
                </w:tcPr>
                <w:p w14:paraId="144CEA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273" w:type="pct"/>
                  <w:vMerge w:val="continue"/>
                  <w:noWrap w:val="0"/>
                  <w:vAlign w:val="center"/>
                </w:tcPr>
                <w:p w14:paraId="436C08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335" w:type="pct"/>
                  <w:noWrap w:val="0"/>
                  <w:vAlign w:val="center"/>
                </w:tcPr>
                <w:p w14:paraId="0FCB34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default" w:ascii="Times New Roman" w:hAnsi="Times New Roman" w:eastAsia="宋体" w:cs="宋体"/>
                      <w:caps w:val="0"/>
                      <w:color w:val="auto"/>
                      <w:spacing w:val="0"/>
                      <w:kern w:val="21"/>
                      <w:sz w:val="21"/>
                      <w:szCs w:val="21"/>
                      <w:highlight w:val="none"/>
                      <w:lang w:val="en-US" w:eastAsia="zh-CN"/>
                    </w:rPr>
                    <w:t>烟气黑度</w:t>
                  </w:r>
                </w:p>
              </w:tc>
              <w:tc>
                <w:tcPr>
                  <w:tcW w:w="475" w:type="pct"/>
                  <w:noWrap w:val="0"/>
                  <w:vAlign w:val="center"/>
                </w:tcPr>
                <w:p w14:paraId="1AB8E8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307" w:type="pct"/>
                  <w:vMerge w:val="continue"/>
                  <w:noWrap w:val="0"/>
                  <w:vAlign w:val="center"/>
                </w:tcPr>
                <w:p w14:paraId="20DB9A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804" w:type="pct"/>
                  <w:gridSpan w:val="5"/>
                  <w:noWrap w:val="0"/>
                  <w:vAlign w:val="center"/>
                </w:tcPr>
                <w:p w14:paraId="0EB6E1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＜1（林格曼等级）</w:t>
                  </w:r>
                </w:p>
              </w:tc>
              <w:tc>
                <w:tcPr>
                  <w:tcW w:w="396" w:type="pct"/>
                  <w:noWrap w:val="0"/>
                  <w:vAlign w:val="center"/>
                </w:tcPr>
                <w:p w14:paraId="75DA52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374" w:type="pct"/>
                  <w:noWrap w:val="0"/>
                  <w:vAlign w:val="center"/>
                </w:tcPr>
                <w:p w14:paraId="7DDC0F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default" w:ascii="Times New Roman" w:hAnsi="Times New Roman" w:eastAsia="宋体" w:cs="宋体"/>
                      <w:caps w:val="0"/>
                      <w:color w:val="auto"/>
                      <w:spacing w:val="0"/>
                      <w:kern w:val="21"/>
                      <w:sz w:val="21"/>
                      <w:szCs w:val="21"/>
                      <w:highlight w:val="none"/>
                      <w:lang w:val="en-US" w:eastAsia="zh-CN"/>
                    </w:rPr>
                    <w:t>/</w:t>
                  </w:r>
                </w:p>
              </w:tc>
              <w:tc>
                <w:tcPr>
                  <w:tcW w:w="301" w:type="pct"/>
                  <w:noWrap w:val="0"/>
                  <w:vAlign w:val="center"/>
                </w:tcPr>
                <w:p w14:paraId="771EB6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272" w:type="pct"/>
                  <w:noWrap w:val="0"/>
                  <w:vAlign w:val="center"/>
                </w:tcPr>
                <w:p w14:paraId="6728B4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w:t>
                  </w:r>
                </w:p>
              </w:tc>
              <w:tc>
                <w:tcPr>
                  <w:tcW w:w="245" w:type="pct"/>
                  <w:vMerge w:val="continue"/>
                  <w:noWrap w:val="0"/>
                  <w:vAlign w:val="center"/>
                </w:tcPr>
                <w:p w14:paraId="19CF1B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c>
                <w:tcPr>
                  <w:tcW w:w="593" w:type="pct"/>
                  <w:gridSpan w:val="3"/>
                  <w:noWrap w:val="0"/>
                  <w:vAlign w:val="center"/>
                </w:tcPr>
                <w:p w14:paraId="5E06A7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＜1（林格曼等级）</w:t>
                  </w:r>
                </w:p>
              </w:tc>
              <w:tc>
                <w:tcPr>
                  <w:tcW w:w="204" w:type="pct"/>
                  <w:vMerge w:val="continue"/>
                  <w:noWrap w:val="0"/>
                  <w:vAlign w:val="center"/>
                </w:tcPr>
                <w:p w14:paraId="7C7CA0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p>
              </w:tc>
            </w:tr>
            <w:tr w14:paraId="3C81C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noWrap w:val="0"/>
                  <w:vAlign w:val="center"/>
                </w:tcPr>
                <w:p w14:paraId="009599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燃料储罐大、小呼吸废气</w:t>
                  </w:r>
                </w:p>
              </w:tc>
              <w:tc>
                <w:tcPr>
                  <w:tcW w:w="223" w:type="pct"/>
                  <w:noWrap w:val="0"/>
                  <w:vAlign w:val="center"/>
                </w:tcPr>
                <w:p w14:paraId="2EEC62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燃料储罐</w:t>
                  </w:r>
                </w:p>
              </w:tc>
              <w:tc>
                <w:tcPr>
                  <w:tcW w:w="273" w:type="pct"/>
                  <w:noWrap w:val="0"/>
                  <w:vAlign w:val="center"/>
                </w:tcPr>
                <w:p w14:paraId="249E2F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无组织</w:t>
                  </w:r>
                </w:p>
              </w:tc>
              <w:tc>
                <w:tcPr>
                  <w:tcW w:w="335" w:type="pct"/>
                  <w:noWrap w:val="0"/>
                  <w:vAlign w:val="center"/>
                </w:tcPr>
                <w:p w14:paraId="3AB9DB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eastAsia" w:ascii="Times New Roman" w:hAnsi="Times New Roman" w:cs="宋体"/>
                      <w:caps w:val="0"/>
                      <w:color w:val="auto"/>
                      <w:spacing w:val="0"/>
                      <w:kern w:val="21"/>
                      <w:sz w:val="21"/>
                      <w:szCs w:val="21"/>
                      <w:highlight w:val="none"/>
                      <w:lang w:val="en-US" w:eastAsia="zh-CN"/>
                    </w:rPr>
                    <w:t>非甲烷总烃</w:t>
                  </w:r>
                </w:p>
              </w:tc>
              <w:tc>
                <w:tcPr>
                  <w:tcW w:w="475" w:type="pct"/>
                  <w:noWrap w:val="0"/>
                  <w:vAlign w:val="center"/>
                </w:tcPr>
                <w:p w14:paraId="2595B8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w:t>
                  </w:r>
                </w:p>
              </w:tc>
              <w:tc>
                <w:tcPr>
                  <w:tcW w:w="307" w:type="pct"/>
                  <w:noWrap w:val="0"/>
                  <w:vAlign w:val="center"/>
                </w:tcPr>
                <w:p w14:paraId="5DA85A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w:t>
                  </w:r>
                </w:p>
              </w:tc>
              <w:tc>
                <w:tcPr>
                  <w:tcW w:w="268" w:type="pct"/>
                  <w:gridSpan w:val="2"/>
                  <w:noWrap w:val="0"/>
                  <w:vAlign w:val="center"/>
                </w:tcPr>
                <w:p w14:paraId="39457E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0.251</w:t>
                  </w:r>
                </w:p>
              </w:tc>
              <w:tc>
                <w:tcPr>
                  <w:tcW w:w="268" w:type="pct"/>
                  <w:gridSpan w:val="2"/>
                  <w:noWrap w:val="0"/>
                  <w:vAlign w:val="center"/>
                </w:tcPr>
                <w:p w14:paraId="5689D1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w:t>
                  </w:r>
                </w:p>
              </w:tc>
              <w:tc>
                <w:tcPr>
                  <w:tcW w:w="268" w:type="pct"/>
                  <w:noWrap w:val="0"/>
                  <w:vAlign w:val="center"/>
                </w:tcPr>
                <w:p w14:paraId="2CECA0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w:t>
                  </w:r>
                </w:p>
              </w:tc>
              <w:tc>
                <w:tcPr>
                  <w:tcW w:w="396" w:type="pct"/>
                  <w:noWrap w:val="0"/>
                  <w:vAlign w:val="center"/>
                </w:tcPr>
                <w:p w14:paraId="5A7505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w:t>
                  </w:r>
                </w:p>
              </w:tc>
              <w:tc>
                <w:tcPr>
                  <w:tcW w:w="374" w:type="pct"/>
                  <w:noWrap w:val="0"/>
                  <w:vAlign w:val="center"/>
                </w:tcPr>
                <w:p w14:paraId="65DD32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21"/>
                      <w:sz w:val="21"/>
                      <w:szCs w:val="21"/>
                      <w:highlight w:val="none"/>
                      <w:lang w:val="en-US" w:eastAsia="zh-CN"/>
                    </w:rPr>
                  </w:pPr>
                  <w:r>
                    <w:rPr>
                      <w:rFonts w:hint="eastAsia" w:ascii="Times New Roman" w:hAnsi="Times New Roman" w:cs="宋体"/>
                      <w:caps w:val="0"/>
                      <w:color w:val="auto"/>
                      <w:spacing w:val="0"/>
                      <w:kern w:val="21"/>
                      <w:sz w:val="21"/>
                      <w:szCs w:val="21"/>
                      <w:highlight w:val="none"/>
                      <w:lang w:val="en-US" w:eastAsia="zh-CN"/>
                    </w:rPr>
                    <w:t>/</w:t>
                  </w:r>
                </w:p>
              </w:tc>
              <w:tc>
                <w:tcPr>
                  <w:tcW w:w="301" w:type="pct"/>
                  <w:noWrap w:val="0"/>
                  <w:vAlign w:val="center"/>
                </w:tcPr>
                <w:p w14:paraId="277174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w:t>
                  </w:r>
                </w:p>
              </w:tc>
              <w:tc>
                <w:tcPr>
                  <w:tcW w:w="272" w:type="pct"/>
                  <w:noWrap w:val="0"/>
                  <w:vAlign w:val="center"/>
                </w:tcPr>
                <w:p w14:paraId="077356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w:t>
                  </w:r>
                </w:p>
              </w:tc>
              <w:tc>
                <w:tcPr>
                  <w:tcW w:w="245" w:type="pct"/>
                  <w:noWrap w:val="0"/>
                  <w:vAlign w:val="center"/>
                </w:tcPr>
                <w:p w14:paraId="2C5BD0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w:t>
                  </w:r>
                </w:p>
              </w:tc>
              <w:tc>
                <w:tcPr>
                  <w:tcW w:w="296" w:type="pct"/>
                  <w:noWrap w:val="0"/>
                  <w:vAlign w:val="center"/>
                </w:tcPr>
                <w:p w14:paraId="038493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w:t>
                  </w:r>
                </w:p>
              </w:tc>
              <w:tc>
                <w:tcPr>
                  <w:tcW w:w="296" w:type="pct"/>
                  <w:gridSpan w:val="2"/>
                  <w:noWrap w:val="0"/>
                  <w:vAlign w:val="center"/>
                </w:tcPr>
                <w:p w14:paraId="3F62E9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0.251</w:t>
                  </w:r>
                </w:p>
              </w:tc>
              <w:tc>
                <w:tcPr>
                  <w:tcW w:w="204" w:type="pct"/>
                  <w:noWrap w:val="0"/>
                  <w:vAlign w:val="center"/>
                </w:tcPr>
                <w:p w14:paraId="109B20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lang w:val="en-US" w:eastAsia="zh-CN"/>
                    </w:rPr>
                    <w:t>6000</w:t>
                  </w:r>
                </w:p>
              </w:tc>
            </w:tr>
          </w:tbl>
          <w:p w14:paraId="1BB7EFF6">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caps w:val="0"/>
                <w:spacing w:val="0"/>
                <w:sz w:val="24"/>
                <w:szCs w:val="24"/>
                <w:highlight w:val="none"/>
              </w:rPr>
            </w:pPr>
          </w:p>
        </w:tc>
      </w:tr>
    </w:tbl>
    <w:p w14:paraId="71E97F33">
      <w:pPr>
        <w:rPr>
          <w:rFonts w:hint="eastAsia" w:ascii="Times New Roman" w:hAnsi="Times New Roman" w:eastAsia="宋体" w:cs="宋体"/>
          <w:caps w:val="0"/>
          <w:spacing w:val="0"/>
          <w:highlight w:val="none"/>
        </w:rPr>
        <w:sectPr>
          <w:pgSz w:w="16840" w:h="11907" w:orient="landscape"/>
          <w:pgMar w:top="1803" w:right="1440" w:bottom="1803"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5"/>
        <w:tblW w:w="514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8"/>
        <w:gridCol w:w="6"/>
        <w:gridCol w:w="8102"/>
        <w:gridCol w:w="162"/>
      </w:tblGrid>
      <w:tr w14:paraId="6EA4B6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57" w:hRule="atLeast"/>
          <w:jc w:val="center"/>
        </w:trPr>
        <w:tc>
          <w:tcPr>
            <w:tcW w:w="410" w:type="dxa"/>
            <w:gridSpan w:val="2"/>
            <w:noWrap w:val="0"/>
            <w:tcMar>
              <w:left w:w="28" w:type="dxa"/>
              <w:right w:w="28" w:type="dxa"/>
            </w:tcMar>
            <w:vAlign w:val="center"/>
          </w:tcPr>
          <w:p w14:paraId="69BF40DF">
            <w:pPr>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8187" w:type="dxa"/>
            <w:gridSpan w:val="2"/>
            <w:tcBorders>
              <w:top w:val="single" w:color="auto" w:sz="4" w:space="0"/>
              <w:bottom w:val="single" w:color="auto" w:sz="4" w:space="0"/>
            </w:tcBorders>
            <w:noWrap w:val="0"/>
            <w:vAlign w:val="center"/>
          </w:tcPr>
          <w:p w14:paraId="10DB9973">
            <w:pPr>
              <w:pStyle w:val="112"/>
              <w:rPr>
                <w:rFonts w:hint="eastAsia" w:ascii="Times New Roman" w:hAnsi="Times New Roman" w:eastAsia="宋体" w:cs="宋体"/>
                <w:caps w:val="0"/>
                <w:spacing w:val="0"/>
                <w:highlight w:val="none"/>
                <w:lang w:val="en-US" w:eastAsia="zh-CN"/>
              </w:rPr>
            </w:pPr>
            <w:r>
              <w:rPr>
                <w:rFonts w:hint="eastAsia" w:ascii="Times New Roman" w:hAnsi="Times New Roman" w:eastAsia="宋体" w:cs="宋体"/>
                <w:caps w:val="0"/>
                <w:spacing w:val="0"/>
                <w:highlight w:val="none"/>
                <w:lang w:val="en-US" w:eastAsia="zh-CN"/>
              </w:rPr>
              <w:t>大气排放口参数情况如下：</w:t>
            </w:r>
          </w:p>
          <w:p w14:paraId="629F14DD">
            <w:pPr>
              <w:pStyle w:val="1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lang w:val="en-US" w:eastAsia="zh-CN"/>
              </w:rPr>
            </w:pPr>
            <w:r>
              <w:rPr>
                <w:rFonts w:hint="eastAsia" w:ascii="Times New Roman" w:hAnsi="Times New Roman" w:eastAsia="宋体" w:cs="宋体"/>
                <w:b/>
                <w:bCs/>
                <w:caps w:val="0"/>
                <w:spacing w:val="0"/>
                <w:sz w:val="21"/>
                <w:szCs w:val="21"/>
                <w:highlight w:val="none"/>
                <w:lang w:val="en-US" w:eastAsia="zh-CN"/>
              </w:rPr>
              <w:t>表</w:t>
            </w:r>
            <w:r>
              <w:rPr>
                <w:rFonts w:hint="default" w:ascii="Times New Roman" w:hAnsi="Times New Roman" w:eastAsia="宋体" w:cs="宋体"/>
                <w:b/>
                <w:bCs/>
                <w:caps w:val="0"/>
                <w:spacing w:val="0"/>
                <w:sz w:val="21"/>
                <w:szCs w:val="21"/>
                <w:highlight w:val="none"/>
                <w:lang w:val="en-US" w:eastAsia="zh-CN"/>
              </w:rPr>
              <w:t>4</w:t>
            </w:r>
            <w:r>
              <w:rPr>
                <w:rFonts w:hint="eastAsia" w:ascii="Times New Roman" w:hAnsi="Times New Roman" w:eastAsia="宋体" w:cs="宋体"/>
                <w:b/>
                <w:bCs/>
                <w:caps w:val="0"/>
                <w:spacing w:val="0"/>
                <w:sz w:val="21"/>
                <w:szCs w:val="21"/>
                <w:highlight w:val="none"/>
                <w:lang w:val="en-US" w:eastAsia="zh-CN"/>
              </w:rPr>
              <w:t>-</w:t>
            </w:r>
            <w:r>
              <w:rPr>
                <w:rFonts w:hint="default" w:ascii="Times New Roman" w:hAnsi="Times New Roman" w:eastAsia="宋体" w:cs="宋体"/>
                <w:b/>
                <w:bCs/>
                <w:caps w:val="0"/>
                <w:spacing w:val="0"/>
                <w:sz w:val="21"/>
                <w:szCs w:val="21"/>
                <w:highlight w:val="none"/>
                <w:lang w:val="en-US" w:eastAsia="zh-CN"/>
              </w:rPr>
              <w:t>2</w:t>
            </w:r>
            <w:r>
              <w:rPr>
                <w:rFonts w:hint="eastAsia" w:ascii="Times New Roman" w:hAnsi="Times New Roman" w:eastAsia="宋体" w:cs="宋体"/>
                <w:b/>
                <w:bCs/>
                <w:caps w:val="0"/>
                <w:spacing w:val="0"/>
                <w:sz w:val="21"/>
                <w:szCs w:val="21"/>
                <w:highlight w:val="none"/>
                <w:lang w:val="en-US" w:eastAsia="zh-CN"/>
              </w:rPr>
              <w:t xml:space="preserve"> 大气排放口基本情况一览表</w:t>
            </w:r>
          </w:p>
          <w:tbl>
            <w:tblPr>
              <w:tblStyle w:val="3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5"/>
              <w:gridCol w:w="873"/>
              <w:gridCol w:w="1447"/>
              <w:gridCol w:w="932"/>
              <w:gridCol w:w="985"/>
              <w:gridCol w:w="912"/>
              <w:gridCol w:w="1100"/>
              <w:gridCol w:w="982"/>
            </w:tblGrid>
            <w:tr w14:paraId="36F6D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6" w:type="pct"/>
                  <w:vMerge w:val="restart"/>
                  <w:tcBorders>
                    <w:tl2br w:val="nil"/>
                    <w:tr2bl w:val="nil"/>
                  </w:tcBorders>
                  <w:noWrap w:val="0"/>
                  <w:vAlign w:val="center"/>
                </w:tcPr>
                <w:p w14:paraId="30932C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r>
                    <w:rPr>
                      <w:rFonts w:hint="default" w:ascii="Times New Roman" w:hAnsi="Times New Roman" w:eastAsia="宋体" w:cs="宋体"/>
                      <w:b/>
                      <w:caps w:val="0"/>
                      <w:color w:val="auto"/>
                      <w:spacing w:val="0"/>
                      <w:sz w:val="21"/>
                      <w:szCs w:val="21"/>
                      <w:highlight w:val="none"/>
                      <w:lang w:bidi="ar"/>
                    </w:rPr>
                    <w:t>排放口编号</w:t>
                  </w:r>
                </w:p>
              </w:tc>
              <w:tc>
                <w:tcPr>
                  <w:tcW w:w="542" w:type="pct"/>
                  <w:vMerge w:val="restart"/>
                  <w:tcBorders>
                    <w:tl2br w:val="nil"/>
                    <w:tr2bl w:val="nil"/>
                  </w:tcBorders>
                  <w:noWrap w:val="0"/>
                  <w:vAlign w:val="center"/>
                </w:tcPr>
                <w:p w14:paraId="2E2CCE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r>
                    <w:rPr>
                      <w:rFonts w:hint="default" w:ascii="Times New Roman" w:hAnsi="Times New Roman" w:eastAsia="宋体" w:cs="宋体"/>
                      <w:b/>
                      <w:caps w:val="0"/>
                      <w:color w:val="auto"/>
                      <w:spacing w:val="0"/>
                      <w:sz w:val="21"/>
                      <w:szCs w:val="21"/>
                      <w:highlight w:val="none"/>
                      <w:lang w:bidi="ar"/>
                    </w:rPr>
                    <w:t>排放口名称</w:t>
                  </w:r>
                </w:p>
              </w:tc>
              <w:tc>
                <w:tcPr>
                  <w:tcW w:w="899" w:type="pct"/>
                  <w:vMerge w:val="restart"/>
                  <w:tcBorders>
                    <w:tl2br w:val="nil"/>
                    <w:tr2bl w:val="nil"/>
                  </w:tcBorders>
                  <w:noWrap w:val="0"/>
                  <w:vAlign w:val="center"/>
                </w:tcPr>
                <w:p w14:paraId="08B205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r>
                    <w:rPr>
                      <w:rFonts w:hint="default" w:ascii="Times New Roman" w:hAnsi="Times New Roman" w:eastAsia="宋体" w:cs="宋体"/>
                      <w:b/>
                      <w:caps w:val="0"/>
                      <w:color w:val="auto"/>
                      <w:spacing w:val="0"/>
                      <w:sz w:val="21"/>
                      <w:szCs w:val="21"/>
                      <w:highlight w:val="none"/>
                      <w:lang w:bidi="ar"/>
                    </w:rPr>
                    <w:t>污染物种类</w:t>
                  </w:r>
                </w:p>
              </w:tc>
              <w:tc>
                <w:tcPr>
                  <w:tcW w:w="1191" w:type="pct"/>
                  <w:gridSpan w:val="2"/>
                  <w:tcBorders>
                    <w:tl2br w:val="nil"/>
                    <w:tr2bl w:val="nil"/>
                  </w:tcBorders>
                  <w:noWrap w:val="0"/>
                  <w:vAlign w:val="center"/>
                </w:tcPr>
                <w:p w14:paraId="696BAB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r>
                    <w:rPr>
                      <w:rFonts w:hint="default" w:ascii="Times New Roman" w:hAnsi="Times New Roman" w:eastAsia="宋体" w:cs="宋体"/>
                      <w:b/>
                      <w:caps w:val="0"/>
                      <w:color w:val="auto"/>
                      <w:spacing w:val="0"/>
                      <w:sz w:val="21"/>
                      <w:szCs w:val="21"/>
                      <w:highlight w:val="none"/>
                      <w:lang w:bidi="ar"/>
                    </w:rPr>
                    <w:t>排放口地理坐标/°</w:t>
                  </w:r>
                </w:p>
              </w:tc>
              <w:tc>
                <w:tcPr>
                  <w:tcW w:w="566" w:type="pct"/>
                  <w:vMerge w:val="restart"/>
                  <w:tcBorders>
                    <w:tl2br w:val="nil"/>
                    <w:tr2bl w:val="nil"/>
                  </w:tcBorders>
                  <w:noWrap w:val="0"/>
                  <w:vAlign w:val="center"/>
                </w:tcPr>
                <w:p w14:paraId="60CBE2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r>
                    <w:rPr>
                      <w:rFonts w:hint="default" w:ascii="Times New Roman" w:hAnsi="Times New Roman" w:eastAsia="宋体" w:cs="宋体"/>
                      <w:b/>
                      <w:caps w:val="0"/>
                      <w:color w:val="auto"/>
                      <w:spacing w:val="0"/>
                      <w:sz w:val="21"/>
                      <w:szCs w:val="21"/>
                      <w:highlight w:val="none"/>
                      <w:lang w:bidi="ar"/>
                    </w:rPr>
                    <w:t>排气筒高度</w:t>
                  </w:r>
                </w:p>
                <w:p w14:paraId="7779C4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r>
                    <w:rPr>
                      <w:rFonts w:hint="default" w:ascii="Times New Roman" w:hAnsi="Times New Roman" w:eastAsia="宋体" w:cs="宋体"/>
                      <w:b/>
                      <w:caps w:val="0"/>
                      <w:color w:val="auto"/>
                      <w:spacing w:val="0"/>
                      <w:sz w:val="21"/>
                      <w:szCs w:val="21"/>
                      <w:highlight w:val="none"/>
                      <w:lang w:bidi="ar"/>
                    </w:rPr>
                    <w:t>m</w:t>
                  </w:r>
                </w:p>
              </w:tc>
              <w:tc>
                <w:tcPr>
                  <w:tcW w:w="683" w:type="pct"/>
                  <w:vMerge w:val="restart"/>
                  <w:tcBorders>
                    <w:tl2br w:val="nil"/>
                    <w:tr2bl w:val="nil"/>
                  </w:tcBorders>
                  <w:noWrap w:val="0"/>
                  <w:vAlign w:val="center"/>
                </w:tcPr>
                <w:p w14:paraId="57110D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r>
                    <w:rPr>
                      <w:rFonts w:hint="default" w:ascii="Times New Roman" w:hAnsi="Times New Roman" w:eastAsia="宋体" w:cs="宋体"/>
                      <w:b/>
                      <w:caps w:val="0"/>
                      <w:color w:val="auto"/>
                      <w:spacing w:val="0"/>
                      <w:sz w:val="21"/>
                      <w:szCs w:val="21"/>
                      <w:highlight w:val="none"/>
                      <w:lang w:bidi="ar"/>
                    </w:rPr>
                    <w:t>排气筒出口内径</w:t>
                  </w:r>
                </w:p>
              </w:tc>
              <w:tc>
                <w:tcPr>
                  <w:tcW w:w="610" w:type="pct"/>
                  <w:vMerge w:val="restart"/>
                  <w:tcBorders>
                    <w:tl2br w:val="nil"/>
                    <w:tr2bl w:val="nil"/>
                  </w:tcBorders>
                  <w:noWrap w:val="0"/>
                  <w:vAlign w:val="center"/>
                </w:tcPr>
                <w:p w14:paraId="7CCAE8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r>
                    <w:rPr>
                      <w:rFonts w:hint="default" w:ascii="Times New Roman" w:hAnsi="Times New Roman" w:eastAsia="宋体" w:cs="宋体"/>
                      <w:b/>
                      <w:caps w:val="0"/>
                      <w:color w:val="auto"/>
                      <w:spacing w:val="0"/>
                      <w:sz w:val="21"/>
                      <w:szCs w:val="21"/>
                      <w:highlight w:val="none"/>
                      <w:lang w:bidi="ar"/>
                    </w:rPr>
                    <w:t>排气筒温度°C</w:t>
                  </w:r>
                </w:p>
              </w:tc>
            </w:tr>
            <w:tr w14:paraId="4CF4BC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6" w:type="pct"/>
                  <w:vMerge w:val="continue"/>
                  <w:tcBorders>
                    <w:tl2br w:val="nil"/>
                    <w:tr2bl w:val="nil"/>
                  </w:tcBorders>
                  <w:noWrap w:val="0"/>
                  <w:vAlign w:val="center"/>
                </w:tcPr>
                <w:p w14:paraId="657E7A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p>
              </w:tc>
              <w:tc>
                <w:tcPr>
                  <w:tcW w:w="542" w:type="pct"/>
                  <w:vMerge w:val="continue"/>
                  <w:tcBorders>
                    <w:tl2br w:val="nil"/>
                    <w:tr2bl w:val="nil"/>
                  </w:tcBorders>
                  <w:noWrap w:val="0"/>
                  <w:vAlign w:val="center"/>
                </w:tcPr>
                <w:p w14:paraId="5B38FC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p>
              </w:tc>
              <w:tc>
                <w:tcPr>
                  <w:tcW w:w="899" w:type="pct"/>
                  <w:vMerge w:val="continue"/>
                  <w:tcBorders>
                    <w:tl2br w:val="nil"/>
                    <w:tr2bl w:val="nil"/>
                  </w:tcBorders>
                  <w:noWrap w:val="0"/>
                  <w:vAlign w:val="center"/>
                </w:tcPr>
                <w:p w14:paraId="563CE8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p>
              </w:tc>
              <w:tc>
                <w:tcPr>
                  <w:tcW w:w="579" w:type="pct"/>
                  <w:tcBorders>
                    <w:tl2br w:val="nil"/>
                    <w:tr2bl w:val="nil"/>
                  </w:tcBorders>
                  <w:noWrap w:val="0"/>
                  <w:vAlign w:val="center"/>
                </w:tcPr>
                <w:p w14:paraId="596539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r>
                    <w:rPr>
                      <w:rFonts w:hint="default" w:ascii="Times New Roman" w:hAnsi="Times New Roman" w:eastAsia="宋体" w:cs="宋体"/>
                      <w:b/>
                      <w:caps w:val="0"/>
                      <w:color w:val="auto"/>
                      <w:spacing w:val="0"/>
                      <w:sz w:val="21"/>
                      <w:szCs w:val="21"/>
                      <w:highlight w:val="none"/>
                      <w:lang w:bidi="ar"/>
                    </w:rPr>
                    <w:t>经度</w:t>
                  </w:r>
                </w:p>
              </w:tc>
              <w:tc>
                <w:tcPr>
                  <w:tcW w:w="612" w:type="pct"/>
                  <w:tcBorders>
                    <w:tl2br w:val="nil"/>
                    <w:tr2bl w:val="nil"/>
                  </w:tcBorders>
                  <w:noWrap w:val="0"/>
                  <w:vAlign w:val="center"/>
                </w:tcPr>
                <w:p w14:paraId="0683A1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r>
                    <w:rPr>
                      <w:rFonts w:hint="default" w:ascii="Times New Roman" w:hAnsi="Times New Roman" w:eastAsia="宋体" w:cs="宋体"/>
                      <w:b/>
                      <w:caps w:val="0"/>
                      <w:color w:val="auto"/>
                      <w:spacing w:val="0"/>
                      <w:sz w:val="21"/>
                      <w:szCs w:val="21"/>
                      <w:highlight w:val="none"/>
                      <w:lang w:bidi="ar"/>
                    </w:rPr>
                    <w:t>纬度</w:t>
                  </w:r>
                </w:p>
              </w:tc>
              <w:tc>
                <w:tcPr>
                  <w:tcW w:w="566" w:type="pct"/>
                  <w:vMerge w:val="continue"/>
                  <w:tcBorders>
                    <w:tl2br w:val="nil"/>
                    <w:tr2bl w:val="nil"/>
                  </w:tcBorders>
                  <w:noWrap w:val="0"/>
                  <w:vAlign w:val="center"/>
                </w:tcPr>
                <w:p w14:paraId="25D76C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p>
              </w:tc>
              <w:tc>
                <w:tcPr>
                  <w:tcW w:w="683" w:type="pct"/>
                  <w:vMerge w:val="continue"/>
                  <w:tcBorders>
                    <w:tl2br w:val="nil"/>
                    <w:tr2bl w:val="nil"/>
                  </w:tcBorders>
                  <w:noWrap w:val="0"/>
                  <w:vAlign w:val="center"/>
                </w:tcPr>
                <w:p w14:paraId="62B5AB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p>
              </w:tc>
              <w:tc>
                <w:tcPr>
                  <w:tcW w:w="610" w:type="pct"/>
                  <w:vMerge w:val="continue"/>
                  <w:tcBorders>
                    <w:tl2br w:val="nil"/>
                    <w:tr2bl w:val="nil"/>
                  </w:tcBorders>
                  <w:noWrap w:val="0"/>
                  <w:vAlign w:val="center"/>
                </w:tcPr>
                <w:p w14:paraId="6A7BF6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
                      <w:caps w:val="0"/>
                      <w:color w:val="auto"/>
                      <w:spacing w:val="0"/>
                      <w:sz w:val="21"/>
                      <w:szCs w:val="21"/>
                      <w:highlight w:val="none"/>
                      <w:lang w:bidi="ar"/>
                    </w:rPr>
                  </w:pPr>
                </w:p>
              </w:tc>
            </w:tr>
            <w:tr w14:paraId="6F7E90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6" w:type="pct"/>
                  <w:vMerge w:val="restart"/>
                  <w:tcBorders>
                    <w:tl2br w:val="nil"/>
                    <w:tr2bl w:val="nil"/>
                  </w:tcBorders>
                  <w:noWrap w:val="0"/>
                  <w:vAlign w:val="center"/>
                </w:tcPr>
                <w:p w14:paraId="30565E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DA</w:t>
                  </w:r>
                </w:p>
                <w:p w14:paraId="495E3C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0</w:t>
                  </w:r>
                  <w:r>
                    <w:rPr>
                      <w:rFonts w:hint="eastAsia" w:ascii="Times New Roman" w:hAnsi="Times New Roman" w:eastAsia="宋体" w:cs="宋体"/>
                      <w:bCs/>
                      <w:caps w:val="0"/>
                      <w:color w:val="auto"/>
                      <w:spacing w:val="0"/>
                      <w:sz w:val="21"/>
                      <w:szCs w:val="21"/>
                      <w:highlight w:val="none"/>
                      <w:lang w:val="en-US" w:eastAsia="zh-CN" w:bidi="ar"/>
                    </w:rPr>
                    <w:t>03</w:t>
                  </w:r>
                </w:p>
              </w:tc>
              <w:tc>
                <w:tcPr>
                  <w:tcW w:w="542" w:type="pct"/>
                  <w:vMerge w:val="restart"/>
                  <w:tcBorders>
                    <w:tl2br w:val="nil"/>
                    <w:tr2bl w:val="nil"/>
                  </w:tcBorders>
                  <w:noWrap w:val="0"/>
                  <w:vAlign w:val="center"/>
                </w:tcPr>
                <w:p w14:paraId="43F631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eastAsia" w:ascii="Times New Roman" w:hAnsi="Times New Roman" w:eastAsia="宋体" w:cs="宋体"/>
                      <w:caps w:val="0"/>
                      <w:snapToGrid w:val="0"/>
                      <w:color w:val="auto"/>
                      <w:spacing w:val="0"/>
                      <w:sz w:val="21"/>
                      <w:szCs w:val="21"/>
                      <w:highlight w:val="none"/>
                      <w:lang w:val="en-US" w:eastAsia="zh-CN"/>
                    </w:rPr>
                    <w:t>碳纳米管烘干车间</w:t>
                  </w: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snapToGrid w:val="0"/>
                      <w:color w:val="auto"/>
                      <w:spacing w:val="0"/>
                      <w:sz w:val="21"/>
                      <w:szCs w:val="21"/>
                      <w:highlight w:val="none"/>
                      <w:lang w:val="en-US" w:eastAsia="zh-CN"/>
                    </w:rPr>
                    <w:t>烟囱</w:t>
                  </w:r>
                </w:p>
              </w:tc>
              <w:tc>
                <w:tcPr>
                  <w:tcW w:w="899" w:type="pct"/>
                  <w:vMerge w:val="restart"/>
                  <w:tcBorders>
                    <w:tl2br w:val="nil"/>
                    <w:tr2bl w:val="nil"/>
                  </w:tcBorders>
                  <w:noWrap w:val="0"/>
                  <w:vAlign w:val="center"/>
                </w:tcPr>
                <w:p w14:paraId="186CC8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颗粒物、二氧化硫、氮氧化物、烟气黑度</w:t>
                  </w:r>
                </w:p>
              </w:tc>
              <w:tc>
                <w:tcPr>
                  <w:tcW w:w="579" w:type="pct"/>
                  <w:vMerge w:val="restart"/>
                  <w:tcBorders>
                    <w:tl2br w:val="nil"/>
                    <w:tr2bl w:val="nil"/>
                  </w:tcBorders>
                  <w:noWrap w:val="0"/>
                  <w:vAlign w:val="center"/>
                </w:tcPr>
                <w:p w14:paraId="01F707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130</w:t>
                  </w:r>
                  <w:r>
                    <w:rPr>
                      <w:rFonts w:hint="eastAsia" w:ascii="Times New Roman" w:hAnsi="Times New Roman" w:eastAsia="宋体" w:cs="宋体"/>
                      <w:bCs/>
                      <w:caps w:val="0"/>
                      <w:color w:val="auto"/>
                      <w:spacing w:val="0"/>
                      <w:sz w:val="21"/>
                      <w:szCs w:val="21"/>
                      <w:highlight w:val="none"/>
                      <w:lang w:val="en-US" w:eastAsia="zh-CN" w:bidi="ar"/>
                    </w:rPr>
                    <w:t>.</w:t>
                  </w:r>
                  <w:r>
                    <w:rPr>
                      <w:rFonts w:hint="default" w:ascii="Times New Roman" w:hAnsi="Times New Roman" w:eastAsia="宋体" w:cs="宋体"/>
                      <w:bCs/>
                      <w:caps w:val="0"/>
                      <w:color w:val="auto"/>
                      <w:spacing w:val="0"/>
                      <w:sz w:val="21"/>
                      <w:szCs w:val="21"/>
                      <w:highlight w:val="none"/>
                      <w:lang w:val="en-US" w:eastAsia="zh-CN" w:bidi="ar"/>
                    </w:rPr>
                    <w:t>719804</w:t>
                  </w:r>
                </w:p>
              </w:tc>
              <w:tc>
                <w:tcPr>
                  <w:tcW w:w="612" w:type="pct"/>
                  <w:vMerge w:val="restart"/>
                  <w:tcBorders>
                    <w:tl2br w:val="nil"/>
                    <w:tr2bl w:val="nil"/>
                  </w:tcBorders>
                  <w:noWrap w:val="0"/>
                  <w:vAlign w:val="center"/>
                </w:tcPr>
                <w:p w14:paraId="718C13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45</w:t>
                  </w:r>
                  <w:r>
                    <w:rPr>
                      <w:rFonts w:hint="eastAsia" w:ascii="Times New Roman" w:hAnsi="Times New Roman" w:eastAsia="宋体" w:cs="宋体"/>
                      <w:bCs/>
                      <w:caps w:val="0"/>
                      <w:color w:val="auto"/>
                      <w:spacing w:val="0"/>
                      <w:sz w:val="21"/>
                      <w:szCs w:val="21"/>
                      <w:highlight w:val="none"/>
                      <w:lang w:val="en-US" w:eastAsia="zh-CN" w:bidi="ar"/>
                    </w:rPr>
                    <w:t>.</w:t>
                  </w:r>
                  <w:r>
                    <w:rPr>
                      <w:rFonts w:hint="default" w:ascii="Times New Roman" w:hAnsi="Times New Roman" w:eastAsia="宋体" w:cs="宋体"/>
                      <w:bCs/>
                      <w:caps w:val="0"/>
                      <w:color w:val="auto"/>
                      <w:spacing w:val="0"/>
                      <w:sz w:val="21"/>
                      <w:szCs w:val="21"/>
                      <w:highlight w:val="none"/>
                      <w:lang w:val="en-US" w:eastAsia="zh-CN" w:bidi="ar"/>
                    </w:rPr>
                    <w:t>068582</w:t>
                  </w:r>
                </w:p>
              </w:tc>
              <w:tc>
                <w:tcPr>
                  <w:tcW w:w="566" w:type="pct"/>
                  <w:vMerge w:val="restart"/>
                  <w:tcBorders>
                    <w:tl2br w:val="nil"/>
                    <w:tr2bl w:val="nil"/>
                  </w:tcBorders>
                  <w:noWrap w:val="0"/>
                  <w:vAlign w:val="center"/>
                </w:tcPr>
                <w:p w14:paraId="7B6D65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eastAsia" w:ascii="Times New Roman" w:hAnsi="Times New Roman" w:eastAsia="宋体" w:cs="宋体"/>
                      <w:bCs/>
                      <w:caps w:val="0"/>
                      <w:color w:val="auto"/>
                      <w:spacing w:val="0"/>
                      <w:sz w:val="21"/>
                      <w:szCs w:val="21"/>
                      <w:highlight w:val="none"/>
                      <w:lang w:val="en-US" w:eastAsia="zh-CN" w:bidi="ar"/>
                    </w:rPr>
                    <w:t>20</w:t>
                  </w:r>
                </w:p>
              </w:tc>
              <w:tc>
                <w:tcPr>
                  <w:tcW w:w="683" w:type="pct"/>
                  <w:vMerge w:val="restart"/>
                  <w:tcBorders>
                    <w:tl2br w:val="nil"/>
                    <w:tr2bl w:val="nil"/>
                  </w:tcBorders>
                  <w:noWrap w:val="0"/>
                  <w:vAlign w:val="center"/>
                </w:tcPr>
                <w:p w14:paraId="4F6C69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bidi="ar"/>
                    </w:rPr>
                  </w:pPr>
                  <w:r>
                    <w:rPr>
                      <w:rFonts w:hint="default" w:ascii="Times New Roman" w:hAnsi="Times New Roman" w:eastAsia="宋体" w:cs="宋体"/>
                      <w:bCs/>
                      <w:caps w:val="0"/>
                      <w:color w:val="auto"/>
                      <w:spacing w:val="0"/>
                      <w:sz w:val="21"/>
                      <w:szCs w:val="21"/>
                      <w:highlight w:val="none"/>
                      <w:lang w:bidi="ar"/>
                    </w:rPr>
                    <w:t>0</w:t>
                  </w:r>
                  <w:r>
                    <w:rPr>
                      <w:rFonts w:hint="eastAsia" w:ascii="Times New Roman" w:hAnsi="Times New Roman" w:eastAsia="宋体" w:cs="宋体"/>
                      <w:bCs/>
                      <w:caps w:val="0"/>
                      <w:color w:val="auto"/>
                      <w:spacing w:val="0"/>
                      <w:sz w:val="21"/>
                      <w:szCs w:val="21"/>
                      <w:highlight w:val="none"/>
                      <w:lang w:eastAsia="zh-CN" w:bidi="ar"/>
                    </w:rPr>
                    <w:t>.</w:t>
                  </w:r>
                  <w:r>
                    <w:rPr>
                      <w:rFonts w:hint="default" w:ascii="Times New Roman" w:hAnsi="Times New Roman" w:eastAsia="宋体" w:cs="宋体"/>
                      <w:bCs/>
                      <w:caps w:val="0"/>
                      <w:color w:val="auto"/>
                      <w:spacing w:val="0"/>
                      <w:sz w:val="21"/>
                      <w:szCs w:val="21"/>
                      <w:highlight w:val="none"/>
                      <w:lang w:val="en-US" w:eastAsia="zh-CN" w:bidi="ar"/>
                    </w:rPr>
                    <w:t>5</w:t>
                  </w:r>
                </w:p>
              </w:tc>
              <w:tc>
                <w:tcPr>
                  <w:tcW w:w="610" w:type="pct"/>
                  <w:vMerge w:val="restart"/>
                  <w:tcBorders>
                    <w:tl2br w:val="nil"/>
                    <w:tr2bl w:val="nil"/>
                  </w:tcBorders>
                  <w:noWrap w:val="0"/>
                  <w:vAlign w:val="center"/>
                </w:tcPr>
                <w:p w14:paraId="0D44A5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80</w:t>
                  </w:r>
                </w:p>
              </w:tc>
            </w:tr>
            <w:tr w14:paraId="17CEC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6" w:type="pct"/>
                  <w:vMerge w:val="continue"/>
                  <w:tcBorders>
                    <w:tl2br w:val="nil"/>
                    <w:tr2bl w:val="nil"/>
                  </w:tcBorders>
                  <w:noWrap w:val="0"/>
                  <w:vAlign w:val="center"/>
                </w:tcPr>
                <w:p w14:paraId="1334D3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spacing w:val="0"/>
                      <w:sz w:val="21"/>
                      <w:szCs w:val="21"/>
                      <w:highlight w:val="none"/>
                    </w:rPr>
                  </w:pPr>
                </w:p>
              </w:tc>
              <w:tc>
                <w:tcPr>
                  <w:tcW w:w="542" w:type="pct"/>
                  <w:vMerge w:val="continue"/>
                  <w:tcBorders>
                    <w:tl2br w:val="nil"/>
                    <w:tr2bl w:val="nil"/>
                  </w:tcBorders>
                  <w:noWrap w:val="0"/>
                  <w:vAlign w:val="center"/>
                </w:tcPr>
                <w:p w14:paraId="7892B2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spacing w:val="0"/>
                      <w:sz w:val="21"/>
                      <w:szCs w:val="21"/>
                      <w:highlight w:val="none"/>
                    </w:rPr>
                  </w:pPr>
                </w:p>
              </w:tc>
              <w:tc>
                <w:tcPr>
                  <w:tcW w:w="899" w:type="pct"/>
                  <w:vMerge w:val="continue"/>
                  <w:tcBorders>
                    <w:tl2br w:val="nil"/>
                    <w:tr2bl w:val="nil"/>
                  </w:tcBorders>
                  <w:noWrap w:val="0"/>
                  <w:vAlign w:val="center"/>
                </w:tcPr>
                <w:p w14:paraId="111EAF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spacing w:val="0"/>
                      <w:sz w:val="21"/>
                      <w:szCs w:val="21"/>
                      <w:highlight w:val="none"/>
                    </w:rPr>
                  </w:pPr>
                </w:p>
              </w:tc>
              <w:tc>
                <w:tcPr>
                  <w:tcW w:w="579" w:type="pct"/>
                  <w:vMerge w:val="continue"/>
                  <w:tcBorders>
                    <w:tl2br w:val="nil"/>
                    <w:tr2bl w:val="nil"/>
                  </w:tcBorders>
                  <w:noWrap w:val="0"/>
                  <w:vAlign w:val="center"/>
                </w:tcPr>
                <w:p w14:paraId="262674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spacing w:val="0"/>
                      <w:sz w:val="21"/>
                      <w:szCs w:val="21"/>
                      <w:highlight w:val="none"/>
                    </w:rPr>
                  </w:pPr>
                </w:p>
              </w:tc>
              <w:tc>
                <w:tcPr>
                  <w:tcW w:w="612" w:type="pct"/>
                  <w:vMerge w:val="continue"/>
                  <w:tcBorders>
                    <w:tl2br w:val="nil"/>
                    <w:tr2bl w:val="nil"/>
                  </w:tcBorders>
                  <w:noWrap w:val="0"/>
                  <w:vAlign w:val="center"/>
                </w:tcPr>
                <w:p w14:paraId="7D5392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spacing w:val="0"/>
                      <w:sz w:val="21"/>
                      <w:szCs w:val="21"/>
                      <w:highlight w:val="none"/>
                    </w:rPr>
                  </w:pPr>
                </w:p>
              </w:tc>
              <w:tc>
                <w:tcPr>
                  <w:tcW w:w="566" w:type="pct"/>
                  <w:vMerge w:val="continue"/>
                  <w:tcBorders>
                    <w:tl2br w:val="nil"/>
                    <w:tr2bl w:val="nil"/>
                  </w:tcBorders>
                  <w:noWrap w:val="0"/>
                  <w:vAlign w:val="center"/>
                </w:tcPr>
                <w:p w14:paraId="65051E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spacing w:val="0"/>
                      <w:sz w:val="21"/>
                      <w:szCs w:val="21"/>
                      <w:highlight w:val="none"/>
                    </w:rPr>
                  </w:pPr>
                </w:p>
              </w:tc>
              <w:tc>
                <w:tcPr>
                  <w:tcW w:w="683" w:type="pct"/>
                  <w:vMerge w:val="continue"/>
                  <w:tcBorders>
                    <w:tl2br w:val="nil"/>
                    <w:tr2bl w:val="nil"/>
                  </w:tcBorders>
                  <w:noWrap w:val="0"/>
                  <w:vAlign w:val="center"/>
                </w:tcPr>
                <w:p w14:paraId="32BF6B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spacing w:val="0"/>
                      <w:sz w:val="21"/>
                      <w:szCs w:val="21"/>
                      <w:highlight w:val="none"/>
                    </w:rPr>
                  </w:pPr>
                </w:p>
              </w:tc>
              <w:tc>
                <w:tcPr>
                  <w:tcW w:w="610" w:type="pct"/>
                  <w:vMerge w:val="continue"/>
                  <w:tcBorders>
                    <w:tl2br w:val="nil"/>
                    <w:tr2bl w:val="nil"/>
                  </w:tcBorders>
                  <w:noWrap w:val="0"/>
                  <w:vAlign w:val="center"/>
                </w:tcPr>
                <w:p w14:paraId="3C6354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spacing w:val="0"/>
                      <w:sz w:val="21"/>
                      <w:szCs w:val="21"/>
                      <w:highlight w:val="none"/>
                    </w:rPr>
                  </w:pPr>
                </w:p>
              </w:tc>
            </w:tr>
            <w:tr w14:paraId="72A7A5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6" w:type="pct"/>
                  <w:vMerge w:val="continue"/>
                  <w:tcBorders>
                    <w:tl2br w:val="nil"/>
                    <w:tr2bl w:val="nil"/>
                  </w:tcBorders>
                  <w:noWrap w:val="0"/>
                  <w:vAlign w:val="center"/>
                </w:tcPr>
                <w:p w14:paraId="1CCEA3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542" w:type="pct"/>
                  <w:vMerge w:val="continue"/>
                  <w:tcBorders>
                    <w:tl2br w:val="nil"/>
                    <w:tr2bl w:val="nil"/>
                  </w:tcBorders>
                  <w:noWrap w:val="0"/>
                  <w:vAlign w:val="center"/>
                </w:tcPr>
                <w:p w14:paraId="2B8830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899" w:type="pct"/>
                  <w:vMerge w:val="continue"/>
                  <w:tcBorders>
                    <w:tl2br w:val="nil"/>
                    <w:tr2bl w:val="nil"/>
                  </w:tcBorders>
                  <w:noWrap w:val="0"/>
                  <w:vAlign w:val="center"/>
                </w:tcPr>
                <w:p w14:paraId="7A248F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579" w:type="pct"/>
                  <w:vMerge w:val="continue"/>
                  <w:tcBorders>
                    <w:tl2br w:val="nil"/>
                    <w:tr2bl w:val="nil"/>
                  </w:tcBorders>
                  <w:noWrap w:val="0"/>
                  <w:vAlign w:val="center"/>
                </w:tcPr>
                <w:p w14:paraId="7FCE24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612" w:type="pct"/>
                  <w:vMerge w:val="continue"/>
                  <w:tcBorders>
                    <w:tl2br w:val="nil"/>
                    <w:tr2bl w:val="nil"/>
                  </w:tcBorders>
                  <w:noWrap w:val="0"/>
                  <w:vAlign w:val="center"/>
                </w:tcPr>
                <w:p w14:paraId="5127F0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566" w:type="pct"/>
                  <w:vMerge w:val="continue"/>
                  <w:tcBorders>
                    <w:tl2br w:val="nil"/>
                    <w:tr2bl w:val="nil"/>
                  </w:tcBorders>
                  <w:noWrap w:val="0"/>
                  <w:vAlign w:val="center"/>
                </w:tcPr>
                <w:p w14:paraId="52BC37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683" w:type="pct"/>
                  <w:vMerge w:val="continue"/>
                  <w:tcBorders>
                    <w:tl2br w:val="nil"/>
                    <w:tr2bl w:val="nil"/>
                  </w:tcBorders>
                  <w:noWrap w:val="0"/>
                  <w:vAlign w:val="center"/>
                </w:tcPr>
                <w:p w14:paraId="4F1BCB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610" w:type="pct"/>
                  <w:vMerge w:val="continue"/>
                  <w:tcBorders>
                    <w:tl2br w:val="nil"/>
                    <w:tr2bl w:val="nil"/>
                  </w:tcBorders>
                  <w:noWrap w:val="0"/>
                  <w:vAlign w:val="center"/>
                </w:tcPr>
                <w:p w14:paraId="0F110C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r>
            <w:tr w14:paraId="1B30F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6" w:type="pct"/>
                  <w:vMerge w:val="continue"/>
                  <w:tcBorders>
                    <w:tl2br w:val="nil"/>
                    <w:tr2bl w:val="nil"/>
                  </w:tcBorders>
                  <w:noWrap w:val="0"/>
                  <w:vAlign w:val="center"/>
                </w:tcPr>
                <w:p w14:paraId="66320D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542" w:type="pct"/>
                  <w:vMerge w:val="continue"/>
                  <w:tcBorders>
                    <w:tl2br w:val="nil"/>
                    <w:tr2bl w:val="nil"/>
                  </w:tcBorders>
                  <w:noWrap w:val="0"/>
                  <w:vAlign w:val="center"/>
                </w:tcPr>
                <w:p w14:paraId="5DB1A9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899" w:type="pct"/>
                  <w:vMerge w:val="continue"/>
                  <w:tcBorders>
                    <w:tl2br w:val="nil"/>
                    <w:tr2bl w:val="nil"/>
                  </w:tcBorders>
                  <w:noWrap w:val="0"/>
                  <w:vAlign w:val="center"/>
                </w:tcPr>
                <w:p w14:paraId="17A8D8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579" w:type="pct"/>
                  <w:vMerge w:val="continue"/>
                  <w:tcBorders>
                    <w:tl2br w:val="nil"/>
                    <w:tr2bl w:val="nil"/>
                  </w:tcBorders>
                  <w:noWrap w:val="0"/>
                  <w:vAlign w:val="center"/>
                </w:tcPr>
                <w:p w14:paraId="603BA0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612" w:type="pct"/>
                  <w:vMerge w:val="continue"/>
                  <w:tcBorders>
                    <w:tl2br w:val="nil"/>
                    <w:tr2bl w:val="nil"/>
                  </w:tcBorders>
                  <w:noWrap w:val="0"/>
                  <w:vAlign w:val="center"/>
                </w:tcPr>
                <w:p w14:paraId="1294CF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566" w:type="pct"/>
                  <w:vMerge w:val="continue"/>
                  <w:tcBorders>
                    <w:tl2br w:val="nil"/>
                    <w:tr2bl w:val="nil"/>
                  </w:tcBorders>
                  <w:noWrap w:val="0"/>
                  <w:vAlign w:val="center"/>
                </w:tcPr>
                <w:p w14:paraId="159735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683" w:type="pct"/>
                  <w:vMerge w:val="continue"/>
                  <w:tcBorders>
                    <w:tl2br w:val="nil"/>
                    <w:tr2bl w:val="nil"/>
                  </w:tcBorders>
                  <w:noWrap w:val="0"/>
                  <w:vAlign w:val="center"/>
                </w:tcPr>
                <w:p w14:paraId="6FE5C2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c>
                <w:tcPr>
                  <w:tcW w:w="610" w:type="pct"/>
                  <w:vMerge w:val="continue"/>
                  <w:tcBorders>
                    <w:tl2br w:val="nil"/>
                    <w:tr2bl w:val="nil"/>
                  </w:tcBorders>
                  <w:noWrap w:val="0"/>
                  <w:vAlign w:val="center"/>
                </w:tcPr>
                <w:p w14:paraId="4DC6C0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p>
              </w:tc>
            </w:tr>
            <w:tr w14:paraId="2E09DE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6" w:type="pct"/>
                  <w:tcBorders>
                    <w:tl2br w:val="nil"/>
                    <w:tr2bl w:val="nil"/>
                  </w:tcBorders>
                  <w:noWrap w:val="0"/>
                  <w:vAlign w:val="center"/>
                </w:tcPr>
                <w:p w14:paraId="4EED18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pacing w:val="0"/>
                      <w:sz w:val="21"/>
                      <w:szCs w:val="21"/>
                      <w:highlight w:val="none"/>
                      <w:lang w:val="en-US" w:eastAsia="zh-CN" w:bidi="ar"/>
                    </w:rPr>
                  </w:pPr>
                  <w:r>
                    <w:rPr>
                      <w:rFonts w:hint="eastAsia" w:ascii="Times New Roman" w:hAnsi="Times New Roman" w:eastAsia="宋体" w:cs="宋体"/>
                      <w:bCs/>
                      <w:caps w:val="0"/>
                      <w:color w:val="auto"/>
                      <w:spacing w:val="0"/>
                      <w:sz w:val="21"/>
                      <w:szCs w:val="21"/>
                      <w:highlight w:val="none"/>
                      <w:lang w:val="en-US" w:eastAsia="zh-CN" w:bidi="ar"/>
                    </w:rPr>
                    <w:t>DA</w:t>
                  </w:r>
                </w:p>
                <w:p w14:paraId="5F39DA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eastAsia" w:ascii="Times New Roman" w:hAnsi="Times New Roman" w:eastAsia="宋体" w:cs="宋体"/>
                      <w:bCs/>
                      <w:caps w:val="0"/>
                      <w:color w:val="auto"/>
                      <w:spacing w:val="0"/>
                      <w:sz w:val="21"/>
                      <w:szCs w:val="21"/>
                      <w:highlight w:val="none"/>
                      <w:lang w:val="en-US" w:eastAsia="zh-CN" w:bidi="ar"/>
                    </w:rPr>
                    <w:t>004</w:t>
                  </w:r>
                </w:p>
              </w:tc>
              <w:tc>
                <w:tcPr>
                  <w:tcW w:w="542" w:type="pct"/>
                  <w:tcBorders>
                    <w:tl2br w:val="nil"/>
                    <w:tr2bl w:val="nil"/>
                  </w:tcBorders>
                  <w:noWrap w:val="0"/>
                  <w:vAlign w:val="center"/>
                </w:tcPr>
                <w:p w14:paraId="069EDC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eastAsia" w:ascii="Times New Roman" w:hAnsi="Times New Roman" w:eastAsia="宋体" w:cs="宋体"/>
                      <w:caps w:val="0"/>
                      <w:snapToGrid w:val="0"/>
                      <w:color w:val="auto"/>
                      <w:spacing w:val="0"/>
                      <w:sz w:val="21"/>
                      <w:szCs w:val="21"/>
                      <w:highlight w:val="none"/>
                      <w:lang w:val="en-US" w:eastAsia="zh-CN"/>
                    </w:rPr>
                    <w:t>石墨烘干车间</w:t>
                  </w: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snapToGrid w:val="0"/>
                      <w:color w:val="auto"/>
                      <w:spacing w:val="0"/>
                      <w:sz w:val="21"/>
                      <w:szCs w:val="21"/>
                      <w:highlight w:val="none"/>
                      <w:lang w:val="en-US" w:eastAsia="zh-CN"/>
                    </w:rPr>
                    <w:t>烟囱</w:t>
                  </w:r>
                </w:p>
              </w:tc>
              <w:tc>
                <w:tcPr>
                  <w:tcW w:w="899" w:type="pct"/>
                  <w:tcBorders>
                    <w:tl2br w:val="nil"/>
                    <w:tr2bl w:val="nil"/>
                  </w:tcBorders>
                  <w:noWrap w:val="0"/>
                  <w:vAlign w:val="center"/>
                </w:tcPr>
                <w:p w14:paraId="121EA3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颗粒物、二氧化硫、氮氧化物、烟气黑度</w:t>
                  </w:r>
                </w:p>
              </w:tc>
              <w:tc>
                <w:tcPr>
                  <w:tcW w:w="579" w:type="pct"/>
                  <w:tcBorders>
                    <w:tl2br w:val="nil"/>
                    <w:tr2bl w:val="nil"/>
                  </w:tcBorders>
                  <w:noWrap w:val="0"/>
                  <w:vAlign w:val="center"/>
                </w:tcPr>
                <w:p w14:paraId="42A4FB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130</w:t>
                  </w:r>
                  <w:r>
                    <w:rPr>
                      <w:rFonts w:hint="eastAsia" w:ascii="Times New Roman" w:hAnsi="Times New Roman" w:eastAsia="宋体" w:cs="宋体"/>
                      <w:bCs/>
                      <w:caps w:val="0"/>
                      <w:color w:val="auto"/>
                      <w:spacing w:val="0"/>
                      <w:sz w:val="21"/>
                      <w:szCs w:val="21"/>
                      <w:highlight w:val="none"/>
                      <w:lang w:val="en-US" w:eastAsia="zh-CN" w:bidi="ar"/>
                    </w:rPr>
                    <w:t>.</w:t>
                  </w:r>
                  <w:r>
                    <w:rPr>
                      <w:rFonts w:hint="default" w:ascii="Times New Roman" w:hAnsi="Times New Roman" w:eastAsia="宋体" w:cs="宋体"/>
                      <w:bCs/>
                      <w:caps w:val="0"/>
                      <w:color w:val="auto"/>
                      <w:spacing w:val="0"/>
                      <w:sz w:val="21"/>
                      <w:szCs w:val="21"/>
                      <w:highlight w:val="none"/>
                      <w:lang w:val="en-US" w:eastAsia="zh-CN" w:bidi="ar"/>
                    </w:rPr>
                    <w:t>720567</w:t>
                  </w:r>
                </w:p>
              </w:tc>
              <w:tc>
                <w:tcPr>
                  <w:tcW w:w="612" w:type="pct"/>
                  <w:tcBorders>
                    <w:tl2br w:val="nil"/>
                    <w:tr2bl w:val="nil"/>
                  </w:tcBorders>
                  <w:noWrap w:val="0"/>
                  <w:vAlign w:val="center"/>
                </w:tcPr>
                <w:p w14:paraId="4BC2D9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45</w:t>
                  </w:r>
                  <w:r>
                    <w:rPr>
                      <w:rFonts w:hint="eastAsia" w:ascii="Times New Roman" w:hAnsi="Times New Roman" w:eastAsia="宋体" w:cs="宋体"/>
                      <w:bCs/>
                      <w:caps w:val="0"/>
                      <w:color w:val="auto"/>
                      <w:spacing w:val="0"/>
                      <w:sz w:val="21"/>
                      <w:szCs w:val="21"/>
                      <w:highlight w:val="none"/>
                      <w:lang w:val="en-US" w:eastAsia="zh-CN" w:bidi="ar"/>
                    </w:rPr>
                    <w:t>.</w:t>
                  </w:r>
                  <w:r>
                    <w:rPr>
                      <w:rFonts w:hint="default" w:ascii="Times New Roman" w:hAnsi="Times New Roman" w:eastAsia="宋体" w:cs="宋体"/>
                      <w:bCs/>
                      <w:caps w:val="0"/>
                      <w:color w:val="auto"/>
                      <w:spacing w:val="0"/>
                      <w:sz w:val="21"/>
                      <w:szCs w:val="21"/>
                      <w:highlight w:val="none"/>
                      <w:lang w:val="en-US" w:eastAsia="zh-CN" w:bidi="ar"/>
                    </w:rPr>
                    <w:t>069027</w:t>
                  </w:r>
                </w:p>
              </w:tc>
              <w:tc>
                <w:tcPr>
                  <w:tcW w:w="566" w:type="pct"/>
                  <w:tcBorders>
                    <w:tl2br w:val="nil"/>
                    <w:tr2bl w:val="nil"/>
                  </w:tcBorders>
                  <w:noWrap w:val="0"/>
                  <w:vAlign w:val="center"/>
                </w:tcPr>
                <w:p w14:paraId="765B57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eastAsia" w:ascii="Times New Roman" w:hAnsi="Times New Roman" w:eastAsia="宋体" w:cs="宋体"/>
                      <w:bCs/>
                      <w:caps w:val="0"/>
                      <w:color w:val="auto"/>
                      <w:spacing w:val="0"/>
                      <w:sz w:val="21"/>
                      <w:szCs w:val="21"/>
                      <w:highlight w:val="none"/>
                      <w:lang w:val="en-US" w:eastAsia="zh-CN" w:bidi="ar"/>
                    </w:rPr>
                    <w:t>20</w:t>
                  </w:r>
                </w:p>
              </w:tc>
              <w:tc>
                <w:tcPr>
                  <w:tcW w:w="1089" w:type="dxa"/>
                  <w:tcBorders>
                    <w:tl2br w:val="nil"/>
                    <w:tr2bl w:val="nil"/>
                  </w:tcBorders>
                  <w:noWrap w:val="0"/>
                  <w:vAlign w:val="center"/>
                </w:tcPr>
                <w:p w14:paraId="742010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bidi="ar"/>
                    </w:rPr>
                    <w:t>0</w:t>
                  </w:r>
                  <w:r>
                    <w:rPr>
                      <w:rFonts w:hint="eastAsia" w:ascii="Times New Roman" w:hAnsi="Times New Roman" w:eastAsia="宋体" w:cs="宋体"/>
                      <w:bCs/>
                      <w:caps w:val="0"/>
                      <w:color w:val="auto"/>
                      <w:spacing w:val="0"/>
                      <w:sz w:val="21"/>
                      <w:szCs w:val="21"/>
                      <w:highlight w:val="none"/>
                      <w:lang w:eastAsia="zh-CN" w:bidi="ar"/>
                    </w:rPr>
                    <w:t>.</w:t>
                  </w:r>
                  <w:r>
                    <w:rPr>
                      <w:rFonts w:hint="default" w:ascii="Times New Roman" w:hAnsi="Times New Roman" w:eastAsia="宋体" w:cs="宋体"/>
                      <w:bCs/>
                      <w:caps w:val="0"/>
                      <w:color w:val="auto"/>
                      <w:spacing w:val="0"/>
                      <w:sz w:val="21"/>
                      <w:szCs w:val="21"/>
                      <w:highlight w:val="none"/>
                      <w:lang w:val="en-US" w:eastAsia="zh-CN" w:bidi="ar"/>
                    </w:rPr>
                    <w:t>5</w:t>
                  </w:r>
                </w:p>
              </w:tc>
              <w:tc>
                <w:tcPr>
                  <w:tcW w:w="973" w:type="dxa"/>
                  <w:tcBorders>
                    <w:tl2br w:val="nil"/>
                    <w:tr2bl w:val="nil"/>
                  </w:tcBorders>
                  <w:noWrap w:val="0"/>
                  <w:vAlign w:val="center"/>
                </w:tcPr>
                <w:p w14:paraId="1B3966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80</w:t>
                  </w:r>
                </w:p>
              </w:tc>
            </w:tr>
          </w:tbl>
          <w:p w14:paraId="7B62ED70">
            <w:pPr>
              <w:pStyle w:val="47"/>
              <w:rPr>
                <w:rFonts w:hint="eastAsia" w:ascii="Times New Roman" w:hAnsi="Times New Roman" w:eastAsia="宋体" w:cs="宋体"/>
                <w:b/>
                <w:bCs w:val="0"/>
                <w:caps w:val="0"/>
                <w:spacing w:val="0"/>
                <w:highlight w:val="none"/>
                <w:lang w:val="en-US" w:eastAsia="zh-CN"/>
              </w:rPr>
            </w:pPr>
            <w:r>
              <w:rPr>
                <w:rFonts w:hint="eastAsia" w:ascii="Times New Roman" w:hAnsi="Times New Roman" w:eastAsia="宋体" w:cs="宋体"/>
                <w:b/>
                <w:bCs w:val="0"/>
                <w:caps w:val="0"/>
                <w:spacing w:val="0"/>
                <w:highlight w:val="none"/>
                <w:lang w:val="en-US" w:eastAsia="zh-CN"/>
              </w:rPr>
              <w:t>（2）废气收集措施</w:t>
            </w:r>
          </w:p>
          <w:p w14:paraId="4D73CE8F">
            <w:pPr>
              <w:pStyle w:val="4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aps w:val="0"/>
                <w:spacing w:val="0"/>
                <w:sz w:val="21"/>
                <w:szCs w:val="21"/>
                <w:highlight w:val="none"/>
                <w:lang w:val="en-US" w:eastAsia="zh-CN"/>
              </w:rPr>
            </w:pPr>
            <w:r>
              <w:rPr>
                <w:rFonts w:hint="eastAsia" w:ascii="Times New Roman" w:hAnsi="Times New Roman" w:eastAsia="宋体" w:cs="宋体"/>
                <w:b/>
                <w:bCs w:val="0"/>
                <w:caps w:val="0"/>
                <w:spacing w:val="0"/>
                <w:sz w:val="21"/>
                <w:szCs w:val="21"/>
                <w:highlight w:val="none"/>
                <w:lang w:val="en-US" w:eastAsia="zh-CN"/>
              </w:rPr>
              <w:t>表</w:t>
            </w:r>
            <w:r>
              <w:rPr>
                <w:rFonts w:hint="default" w:ascii="Times New Roman" w:hAnsi="Times New Roman" w:eastAsia="宋体" w:cs="宋体"/>
                <w:b/>
                <w:bCs w:val="0"/>
                <w:caps w:val="0"/>
                <w:spacing w:val="0"/>
                <w:sz w:val="21"/>
                <w:szCs w:val="21"/>
                <w:highlight w:val="none"/>
                <w:lang w:val="en-US" w:eastAsia="zh-CN"/>
              </w:rPr>
              <w:t>4</w:t>
            </w:r>
            <w:r>
              <w:rPr>
                <w:rFonts w:hint="eastAsia" w:ascii="Times New Roman" w:hAnsi="Times New Roman" w:eastAsia="宋体" w:cs="宋体"/>
                <w:b/>
                <w:bCs w:val="0"/>
                <w:caps w:val="0"/>
                <w:spacing w:val="0"/>
                <w:sz w:val="21"/>
                <w:szCs w:val="21"/>
                <w:highlight w:val="none"/>
                <w:lang w:val="en-US" w:eastAsia="zh-CN"/>
              </w:rPr>
              <w:t>-</w:t>
            </w:r>
            <w:r>
              <w:rPr>
                <w:rFonts w:hint="default" w:ascii="Times New Roman" w:hAnsi="Times New Roman" w:eastAsia="宋体" w:cs="宋体"/>
                <w:b/>
                <w:bCs w:val="0"/>
                <w:caps w:val="0"/>
                <w:spacing w:val="0"/>
                <w:sz w:val="21"/>
                <w:szCs w:val="21"/>
                <w:highlight w:val="none"/>
                <w:lang w:val="en-US" w:eastAsia="zh-CN"/>
              </w:rPr>
              <w:t>3</w:t>
            </w:r>
            <w:r>
              <w:rPr>
                <w:rFonts w:hint="eastAsia" w:ascii="Times New Roman" w:hAnsi="Times New Roman" w:eastAsia="宋体" w:cs="宋体"/>
                <w:b/>
                <w:bCs w:val="0"/>
                <w:caps w:val="0"/>
                <w:spacing w:val="0"/>
                <w:sz w:val="21"/>
                <w:szCs w:val="21"/>
                <w:highlight w:val="none"/>
                <w:lang w:val="en-US" w:eastAsia="zh-CN"/>
              </w:rPr>
              <w:t xml:space="preserve"> 排气筒设置情况</w:t>
            </w:r>
          </w:p>
          <w:tbl>
            <w:tblPr>
              <w:tblStyle w:val="35"/>
              <w:tblW w:w="79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6"/>
              <w:gridCol w:w="709"/>
              <w:gridCol w:w="1800"/>
              <w:gridCol w:w="927"/>
              <w:gridCol w:w="839"/>
              <w:gridCol w:w="790"/>
              <w:gridCol w:w="794"/>
              <w:gridCol w:w="602"/>
              <w:gridCol w:w="677"/>
            </w:tblGrid>
            <w:tr w14:paraId="0A8E5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836" w:type="dxa"/>
                  <w:tcBorders>
                    <w:tl2br w:val="nil"/>
                    <w:tr2bl w:val="nil"/>
                  </w:tcBorders>
                  <w:noWrap w:val="0"/>
                  <w:vAlign w:val="center"/>
                </w:tcPr>
                <w:p w14:paraId="6CD1C9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排气筒编号</w:t>
                  </w:r>
                </w:p>
              </w:tc>
              <w:tc>
                <w:tcPr>
                  <w:tcW w:w="709" w:type="dxa"/>
                  <w:tcBorders>
                    <w:tl2br w:val="nil"/>
                    <w:tr2bl w:val="nil"/>
                  </w:tcBorders>
                  <w:noWrap w:val="0"/>
                  <w:vAlign w:val="center"/>
                </w:tcPr>
                <w:p w14:paraId="4A5BBB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废气来源</w:t>
                  </w:r>
                </w:p>
              </w:tc>
              <w:tc>
                <w:tcPr>
                  <w:tcW w:w="1800" w:type="dxa"/>
                  <w:tcBorders>
                    <w:tl2br w:val="nil"/>
                    <w:tr2bl w:val="nil"/>
                  </w:tcBorders>
                  <w:noWrap w:val="0"/>
                  <w:vAlign w:val="center"/>
                </w:tcPr>
                <w:p w14:paraId="55AB54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污染物种类</w:t>
                  </w:r>
                </w:p>
              </w:tc>
              <w:tc>
                <w:tcPr>
                  <w:tcW w:w="927" w:type="dxa"/>
                  <w:tcBorders>
                    <w:tl2br w:val="nil"/>
                    <w:tr2bl w:val="nil"/>
                  </w:tcBorders>
                  <w:noWrap w:val="0"/>
                  <w:vAlign w:val="center"/>
                </w:tcPr>
                <w:p w14:paraId="2B5AC4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生产设备</w:t>
                  </w:r>
                </w:p>
              </w:tc>
              <w:tc>
                <w:tcPr>
                  <w:tcW w:w="839" w:type="dxa"/>
                  <w:tcBorders>
                    <w:tl2br w:val="nil"/>
                    <w:tr2bl w:val="nil"/>
                  </w:tcBorders>
                  <w:noWrap w:val="0"/>
                  <w:vAlign w:val="center"/>
                </w:tcPr>
                <w:p w14:paraId="4C48B2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环保设备</w:t>
                  </w:r>
                </w:p>
              </w:tc>
              <w:tc>
                <w:tcPr>
                  <w:tcW w:w="790" w:type="dxa"/>
                  <w:tcBorders>
                    <w:tl2br w:val="nil"/>
                    <w:tr2bl w:val="nil"/>
                  </w:tcBorders>
                  <w:noWrap w:val="0"/>
                  <w:vAlign w:val="center"/>
                </w:tcPr>
                <w:p w14:paraId="218C2A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高度</w:t>
                  </w:r>
                  <w:r>
                    <w:rPr>
                      <w:rFonts w:hint="default" w:ascii="Times New Roman" w:hAnsi="Times New Roman" w:eastAsia="宋体" w:cs="宋体"/>
                      <w:b/>
                      <w:bCs/>
                      <w:caps w:val="0"/>
                      <w:color w:val="auto"/>
                      <w:spacing w:val="0"/>
                      <w:sz w:val="21"/>
                      <w:szCs w:val="21"/>
                      <w:highlight w:val="none"/>
                    </w:rPr>
                    <w:t>m</w:t>
                  </w:r>
                </w:p>
              </w:tc>
              <w:tc>
                <w:tcPr>
                  <w:tcW w:w="794" w:type="dxa"/>
                  <w:tcBorders>
                    <w:tl2br w:val="nil"/>
                    <w:tr2bl w:val="nil"/>
                  </w:tcBorders>
                  <w:noWrap w:val="0"/>
                  <w:vAlign w:val="center"/>
                </w:tcPr>
                <w:p w14:paraId="36991D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内径</w:t>
                  </w:r>
                  <w:r>
                    <w:rPr>
                      <w:rFonts w:hint="default" w:ascii="Times New Roman" w:hAnsi="Times New Roman" w:eastAsia="宋体" w:cs="宋体"/>
                      <w:b/>
                      <w:bCs/>
                      <w:caps w:val="0"/>
                      <w:color w:val="auto"/>
                      <w:spacing w:val="0"/>
                      <w:sz w:val="21"/>
                      <w:szCs w:val="21"/>
                      <w:highlight w:val="none"/>
                    </w:rPr>
                    <w:t>m</w:t>
                  </w:r>
                </w:p>
              </w:tc>
              <w:tc>
                <w:tcPr>
                  <w:tcW w:w="602" w:type="dxa"/>
                  <w:tcBorders>
                    <w:tl2br w:val="nil"/>
                    <w:tr2bl w:val="nil"/>
                  </w:tcBorders>
                  <w:noWrap w:val="0"/>
                  <w:vAlign w:val="center"/>
                </w:tcPr>
                <w:p w14:paraId="5294E9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温度</w:t>
                  </w:r>
                  <w:r>
                    <w:rPr>
                      <w:rFonts w:hint="eastAsia" w:ascii="Times New Roman" w:hAnsi="Times New Roman" w:eastAsia="宋体" w:cs="宋体"/>
                      <w:b/>
                      <w:bCs/>
                      <w:caps w:val="0"/>
                      <w:color w:val="auto"/>
                      <w:spacing w:val="0"/>
                      <w:sz w:val="21"/>
                      <w:szCs w:val="21"/>
                      <w:highlight w:val="none"/>
                      <w:lang w:bidi="ar"/>
                    </w:rPr>
                    <w:t>°C</w:t>
                  </w:r>
                </w:p>
              </w:tc>
              <w:tc>
                <w:tcPr>
                  <w:tcW w:w="677" w:type="dxa"/>
                  <w:tcBorders>
                    <w:tl2br w:val="nil"/>
                    <w:tr2bl w:val="nil"/>
                  </w:tcBorders>
                  <w:noWrap w:val="0"/>
                  <w:vAlign w:val="center"/>
                </w:tcPr>
                <w:p w14:paraId="370DD8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sz w:val="21"/>
                      <w:szCs w:val="21"/>
                      <w:highlight w:val="none"/>
                    </w:rPr>
                  </w:pPr>
                  <w:r>
                    <w:rPr>
                      <w:rFonts w:hint="eastAsia" w:ascii="Times New Roman" w:hAnsi="Times New Roman" w:eastAsia="宋体" w:cs="宋体"/>
                      <w:b/>
                      <w:bCs/>
                      <w:caps w:val="0"/>
                      <w:color w:val="auto"/>
                      <w:spacing w:val="0"/>
                      <w:sz w:val="21"/>
                      <w:szCs w:val="21"/>
                      <w:highlight w:val="none"/>
                    </w:rPr>
                    <w:t>设计风量</w:t>
                  </w:r>
                  <w:r>
                    <w:rPr>
                      <w:rFonts w:hint="eastAsia" w:ascii="Times New Roman" w:hAnsi="Times New Roman" w:eastAsia="宋体" w:cs="宋体"/>
                      <w:b/>
                      <w:bCs/>
                      <w:caps w:val="0"/>
                      <w:color w:val="auto"/>
                      <w:spacing w:val="0"/>
                      <w:sz w:val="21"/>
                      <w:szCs w:val="21"/>
                      <w:highlight w:val="none"/>
                      <w:lang w:eastAsia="zh-CN"/>
                    </w:rPr>
                    <w:t>m</w:t>
                  </w:r>
                  <w:r>
                    <w:rPr>
                      <w:rFonts w:hint="eastAsia" w:ascii="Times New Roman" w:hAnsi="Times New Roman" w:eastAsia="宋体" w:cs="宋体"/>
                      <w:b/>
                      <w:bCs/>
                      <w:caps w:val="0"/>
                      <w:smallCaps w:val="0"/>
                      <w:strike w:val="0"/>
                      <w:dstrike w:val="0"/>
                      <w:vanish w:val="0"/>
                      <w:color w:val="auto"/>
                      <w:spacing w:val="0"/>
                      <w:sz w:val="21"/>
                      <w:szCs w:val="21"/>
                      <w:highlight w:val="none"/>
                      <w:vertAlign w:val="superscript"/>
                      <w:lang w:eastAsia="zh-CN"/>
                    </w:rPr>
                    <w:t>3</w:t>
                  </w:r>
                  <w:r>
                    <w:rPr>
                      <w:rFonts w:hint="eastAsia" w:ascii="Times New Roman" w:hAnsi="Times New Roman" w:eastAsia="宋体" w:cs="宋体"/>
                      <w:b/>
                      <w:bCs/>
                      <w:caps w:val="0"/>
                      <w:color w:val="auto"/>
                      <w:spacing w:val="0"/>
                      <w:sz w:val="21"/>
                      <w:szCs w:val="21"/>
                      <w:highlight w:val="none"/>
                    </w:rPr>
                    <w:t>/h</w:t>
                  </w:r>
                </w:p>
              </w:tc>
            </w:tr>
            <w:tr w14:paraId="4ABFB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836" w:type="dxa"/>
                  <w:tcBorders>
                    <w:tl2br w:val="nil"/>
                    <w:tr2bl w:val="nil"/>
                  </w:tcBorders>
                  <w:noWrap w:val="0"/>
                  <w:vAlign w:val="center"/>
                </w:tcPr>
                <w:p w14:paraId="0658D1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caps w:val="0"/>
                      <w:color w:val="auto"/>
                      <w:spacing w:val="0"/>
                      <w:sz w:val="21"/>
                      <w:szCs w:val="21"/>
                      <w:highlight w:val="none"/>
                      <w:lang w:val="en-US" w:eastAsia="zh-CN" w:bidi="ar"/>
                    </w:rPr>
                  </w:pPr>
                  <w:r>
                    <w:rPr>
                      <w:rFonts w:hint="default" w:ascii="Times New Roman" w:hAnsi="Times New Roman" w:eastAsia="宋体" w:cs="宋体"/>
                      <w:bCs/>
                      <w:caps w:val="0"/>
                      <w:color w:val="auto"/>
                      <w:spacing w:val="0"/>
                      <w:sz w:val="21"/>
                      <w:szCs w:val="21"/>
                      <w:highlight w:val="none"/>
                      <w:lang w:val="en-US" w:eastAsia="zh-CN" w:bidi="ar"/>
                    </w:rPr>
                    <w:t>DA</w:t>
                  </w:r>
                </w:p>
                <w:p w14:paraId="2EA3AF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bCs/>
                      <w:caps w:val="0"/>
                      <w:color w:val="auto"/>
                      <w:spacing w:val="0"/>
                      <w:sz w:val="21"/>
                      <w:szCs w:val="21"/>
                      <w:highlight w:val="none"/>
                      <w:lang w:val="en-US" w:eastAsia="zh-CN" w:bidi="ar"/>
                    </w:rPr>
                    <w:t>0</w:t>
                  </w:r>
                  <w:r>
                    <w:rPr>
                      <w:rFonts w:hint="eastAsia" w:ascii="Times New Roman" w:hAnsi="Times New Roman" w:eastAsia="宋体" w:cs="宋体"/>
                      <w:bCs/>
                      <w:caps w:val="0"/>
                      <w:color w:val="auto"/>
                      <w:spacing w:val="0"/>
                      <w:sz w:val="21"/>
                      <w:szCs w:val="21"/>
                      <w:highlight w:val="none"/>
                      <w:lang w:val="en-US" w:eastAsia="zh-CN" w:bidi="ar"/>
                    </w:rPr>
                    <w:t>03</w:t>
                  </w:r>
                </w:p>
              </w:tc>
              <w:tc>
                <w:tcPr>
                  <w:tcW w:w="709" w:type="dxa"/>
                  <w:tcBorders>
                    <w:tl2br w:val="nil"/>
                    <w:tr2bl w:val="nil"/>
                  </w:tcBorders>
                  <w:noWrap w:val="0"/>
                  <w:vAlign w:val="center"/>
                </w:tcPr>
                <w:p w14:paraId="17DDC6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color w:val="auto"/>
                      <w:spacing w:val="0"/>
                      <w:sz w:val="21"/>
                      <w:szCs w:val="21"/>
                      <w:highlight w:val="none"/>
                      <w:lang w:val="en-US" w:eastAsia="zh-CN"/>
                    </w:rPr>
                    <w:t>废气</w:t>
                  </w:r>
                </w:p>
              </w:tc>
              <w:tc>
                <w:tcPr>
                  <w:tcW w:w="1800" w:type="dxa"/>
                  <w:tcBorders>
                    <w:tl2br w:val="nil"/>
                    <w:tr2bl w:val="nil"/>
                  </w:tcBorders>
                  <w:noWrap w:val="0"/>
                  <w:vAlign w:val="center"/>
                </w:tcPr>
                <w:p w14:paraId="7A9A79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pacing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二氧化硫、氮氧化物、</w:t>
                  </w:r>
                  <w:r>
                    <w:rPr>
                      <w:rFonts w:hint="eastAsia" w:ascii="Times New Roman" w:hAnsi="Times New Roman" w:eastAsia="宋体" w:cs="宋体"/>
                      <w:caps w:val="0"/>
                      <w:color w:val="auto"/>
                      <w:spacing w:val="0"/>
                      <w:sz w:val="21"/>
                      <w:szCs w:val="21"/>
                      <w:highlight w:val="none"/>
                    </w:rPr>
                    <w:t>颗粒物</w:t>
                  </w:r>
                  <w:r>
                    <w:rPr>
                      <w:rFonts w:hint="eastAsia" w:ascii="Times New Roman" w:hAnsi="Times New Roman" w:eastAsia="宋体" w:cs="宋体"/>
                      <w:caps w:val="0"/>
                      <w:color w:val="auto"/>
                      <w:spacing w:val="0"/>
                      <w:sz w:val="21"/>
                      <w:szCs w:val="21"/>
                      <w:highlight w:val="none"/>
                      <w:lang w:eastAsia="zh-CN"/>
                    </w:rPr>
                    <w:t>、</w:t>
                  </w:r>
                  <w:r>
                    <w:rPr>
                      <w:rFonts w:hint="eastAsia" w:ascii="Times New Roman" w:hAnsi="Times New Roman" w:eastAsia="宋体" w:cs="宋体"/>
                      <w:bCs/>
                      <w:caps w:val="0"/>
                      <w:color w:val="auto"/>
                      <w:spacing w:val="0"/>
                      <w:sz w:val="21"/>
                      <w:szCs w:val="21"/>
                      <w:highlight w:val="none"/>
                      <w:lang w:val="en-US" w:eastAsia="zh-CN" w:bidi="ar"/>
                    </w:rPr>
                    <w:t>烟气黑度</w:t>
                  </w:r>
                </w:p>
              </w:tc>
              <w:tc>
                <w:tcPr>
                  <w:tcW w:w="927" w:type="dxa"/>
                  <w:tcBorders>
                    <w:tl2br w:val="nil"/>
                    <w:tr2bl w:val="nil"/>
                  </w:tcBorders>
                  <w:noWrap w:val="0"/>
                  <w:vAlign w:val="center"/>
                </w:tcPr>
                <w:p w14:paraId="369153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0.35MW燃油</w:t>
                  </w:r>
                  <w:r>
                    <w:rPr>
                      <w:rFonts w:hint="eastAsia" w:ascii="Times New Roman" w:hAnsi="Times New Roman" w:eastAsia="宋体" w:cs="宋体"/>
                      <w:caps w:val="0"/>
                      <w:color w:val="auto"/>
                      <w:spacing w:val="0"/>
                      <w:sz w:val="21"/>
                      <w:szCs w:val="21"/>
                      <w:highlight w:val="none"/>
                      <w:lang w:val="en-US" w:eastAsia="zh-CN"/>
                    </w:rPr>
                    <w:t>导热油炉</w:t>
                  </w:r>
                </w:p>
              </w:tc>
              <w:tc>
                <w:tcPr>
                  <w:tcW w:w="839" w:type="dxa"/>
                  <w:tcBorders>
                    <w:tl2br w:val="nil"/>
                    <w:tr2bl w:val="nil"/>
                  </w:tcBorders>
                  <w:noWrap w:val="0"/>
                  <w:vAlign w:val="center"/>
                </w:tcPr>
                <w:p w14:paraId="6B1AE5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布袋除尘器</w:t>
                  </w:r>
                </w:p>
              </w:tc>
              <w:tc>
                <w:tcPr>
                  <w:tcW w:w="790" w:type="dxa"/>
                  <w:tcBorders>
                    <w:tl2br w:val="nil"/>
                    <w:tr2bl w:val="nil"/>
                  </w:tcBorders>
                  <w:noWrap w:val="0"/>
                  <w:vAlign w:val="center"/>
                </w:tcPr>
                <w:p w14:paraId="2FB469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20</w:t>
                  </w:r>
                </w:p>
              </w:tc>
              <w:tc>
                <w:tcPr>
                  <w:tcW w:w="794" w:type="dxa"/>
                  <w:tcBorders>
                    <w:tl2br w:val="nil"/>
                    <w:tr2bl w:val="nil"/>
                  </w:tcBorders>
                  <w:noWrap w:val="0"/>
                  <w:vAlign w:val="center"/>
                </w:tcPr>
                <w:p w14:paraId="3BDF3F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0</w:t>
                  </w:r>
                  <w:r>
                    <w:rPr>
                      <w:rFonts w:hint="eastAsia" w:ascii="Times New Roman" w:hAnsi="Times New Roman" w:eastAsia="宋体" w:cs="宋体"/>
                      <w:caps w:val="0"/>
                      <w:color w:val="auto"/>
                      <w:spacing w:val="0"/>
                      <w:sz w:val="21"/>
                      <w:szCs w:val="21"/>
                      <w:highlight w:val="none"/>
                      <w:lang w:eastAsia="zh-CN"/>
                    </w:rPr>
                    <w:t>.</w:t>
                  </w:r>
                  <w:r>
                    <w:rPr>
                      <w:rFonts w:hint="default" w:ascii="Times New Roman" w:hAnsi="Times New Roman" w:eastAsia="宋体" w:cs="宋体"/>
                      <w:caps w:val="0"/>
                      <w:color w:val="auto"/>
                      <w:spacing w:val="0"/>
                      <w:sz w:val="21"/>
                      <w:szCs w:val="21"/>
                      <w:highlight w:val="none"/>
                      <w:lang w:val="en-US" w:eastAsia="zh-CN"/>
                    </w:rPr>
                    <w:t>5</w:t>
                  </w:r>
                </w:p>
              </w:tc>
              <w:tc>
                <w:tcPr>
                  <w:tcW w:w="602" w:type="dxa"/>
                  <w:tcBorders>
                    <w:tl2br w:val="nil"/>
                    <w:tr2bl w:val="nil"/>
                  </w:tcBorders>
                  <w:noWrap w:val="0"/>
                  <w:vAlign w:val="center"/>
                </w:tcPr>
                <w:p w14:paraId="385CE4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80</w:t>
                  </w:r>
                </w:p>
              </w:tc>
              <w:tc>
                <w:tcPr>
                  <w:tcW w:w="677" w:type="dxa"/>
                  <w:tcBorders>
                    <w:tl2br w:val="nil"/>
                    <w:tr2bl w:val="nil"/>
                  </w:tcBorders>
                  <w:noWrap w:val="0"/>
                  <w:vAlign w:val="center"/>
                </w:tcPr>
                <w:p w14:paraId="0B582D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w:t>
                  </w:r>
                </w:p>
              </w:tc>
            </w:tr>
            <w:tr w14:paraId="7E87BF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836" w:type="dxa"/>
                  <w:tcBorders>
                    <w:tl2br w:val="nil"/>
                    <w:tr2bl w:val="nil"/>
                  </w:tcBorders>
                  <w:noWrap w:val="0"/>
                  <w:vAlign w:val="center"/>
                </w:tcPr>
                <w:p w14:paraId="438578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auto"/>
                      <w:spacing w:val="0"/>
                      <w:sz w:val="21"/>
                      <w:szCs w:val="21"/>
                      <w:highlight w:val="none"/>
                      <w:lang w:val="en-US" w:eastAsia="zh-CN" w:bidi="ar"/>
                    </w:rPr>
                  </w:pPr>
                  <w:r>
                    <w:rPr>
                      <w:rFonts w:hint="eastAsia" w:ascii="Times New Roman" w:hAnsi="Times New Roman" w:eastAsia="宋体" w:cs="宋体"/>
                      <w:bCs/>
                      <w:caps w:val="0"/>
                      <w:color w:val="auto"/>
                      <w:spacing w:val="0"/>
                      <w:sz w:val="21"/>
                      <w:szCs w:val="21"/>
                      <w:highlight w:val="none"/>
                      <w:lang w:val="en-US" w:eastAsia="zh-CN" w:bidi="ar"/>
                    </w:rPr>
                    <w:t>DA</w:t>
                  </w:r>
                </w:p>
                <w:p w14:paraId="510808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bCs/>
                      <w:caps w:val="0"/>
                      <w:color w:val="auto"/>
                      <w:spacing w:val="0"/>
                      <w:sz w:val="21"/>
                      <w:szCs w:val="21"/>
                      <w:highlight w:val="none"/>
                      <w:lang w:val="en-US" w:eastAsia="zh-CN" w:bidi="ar"/>
                    </w:rPr>
                    <w:t>004</w:t>
                  </w:r>
                </w:p>
              </w:tc>
              <w:tc>
                <w:tcPr>
                  <w:tcW w:w="709" w:type="dxa"/>
                  <w:tcBorders>
                    <w:tl2br w:val="nil"/>
                    <w:tr2bl w:val="nil"/>
                  </w:tcBorders>
                  <w:noWrap w:val="0"/>
                  <w:vAlign w:val="center"/>
                </w:tcPr>
                <w:p w14:paraId="5C23F1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color w:val="auto"/>
                      <w:spacing w:val="0"/>
                      <w:sz w:val="21"/>
                      <w:szCs w:val="21"/>
                      <w:highlight w:val="none"/>
                      <w:lang w:val="en-US" w:eastAsia="zh-CN"/>
                    </w:rPr>
                    <w:t>废气</w:t>
                  </w:r>
                </w:p>
              </w:tc>
              <w:tc>
                <w:tcPr>
                  <w:tcW w:w="1800" w:type="dxa"/>
                  <w:tcBorders>
                    <w:tl2br w:val="nil"/>
                    <w:tr2bl w:val="nil"/>
                  </w:tcBorders>
                  <w:noWrap w:val="0"/>
                  <w:vAlign w:val="center"/>
                </w:tcPr>
                <w:p w14:paraId="65B57E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二氧化硫、氮氧化物、</w:t>
                  </w:r>
                  <w:r>
                    <w:rPr>
                      <w:rFonts w:hint="eastAsia" w:ascii="Times New Roman" w:hAnsi="Times New Roman" w:eastAsia="宋体" w:cs="宋体"/>
                      <w:caps w:val="0"/>
                      <w:color w:val="auto"/>
                      <w:spacing w:val="0"/>
                      <w:sz w:val="21"/>
                      <w:szCs w:val="21"/>
                      <w:highlight w:val="none"/>
                    </w:rPr>
                    <w:t>颗粒物</w:t>
                  </w:r>
                  <w:r>
                    <w:rPr>
                      <w:rFonts w:hint="eastAsia" w:ascii="Times New Roman" w:hAnsi="Times New Roman" w:eastAsia="宋体" w:cs="宋体"/>
                      <w:caps w:val="0"/>
                      <w:color w:val="auto"/>
                      <w:spacing w:val="0"/>
                      <w:sz w:val="21"/>
                      <w:szCs w:val="21"/>
                      <w:highlight w:val="none"/>
                      <w:lang w:eastAsia="zh-CN"/>
                    </w:rPr>
                    <w:t>、</w:t>
                  </w:r>
                  <w:r>
                    <w:rPr>
                      <w:rFonts w:hint="eastAsia" w:ascii="Times New Roman" w:hAnsi="Times New Roman" w:eastAsia="宋体" w:cs="宋体"/>
                      <w:bCs/>
                      <w:caps w:val="0"/>
                      <w:color w:val="auto"/>
                      <w:spacing w:val="0"/>
                      <w:sz w:val="21"/>
                      <w:szCs w:val="21"/>
                      <w:highlight w:val="none"/>
                      <w:lang w:val="en-US" w:eastAsia="zh-CN" w:bidi="ar"/>
                    </w:rPr>
                    <w:t>烟气黑度</w:t>
                  </w:r>
                </w:p>
              </w:tc>
              <w:tc>
                <w:tcPr>
                  <w:tcW w:w="927" w:type="dxa"/>
                  <w:tcBorders>
                    <w:tl2br w:val="nil"/>
                    <w:tr2bl w:val="nil"/>
                  </w:tcBorders>
                  <w:noWrap w:val="0"/>
                  <w:vAlign w:val="center"/>
                </w:tcPr>
                <w:p w14:paraId="7DAD06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0.35MW燃油</w:t>
                  </w:r>
                  <w:r>
                    <w:rPr>
                      <w:rFonts w:hint="eastAsia" w:ascii="Times New Roman" w:hAnsi="Times New Roman" w:eastAsia="宋体" w:cs="宋体"/>
                      <w:caps w:val="0"/>
                      <w:color w:val="auto"/>
                      <w:spacing w:val="0"/>
                      <w:sz w:val="21"/>
                      <w:szCs w:val="21"/>
                      <w:highlight w:val="none"/>
                      <w:lang w:val="en-US" w:eastAsia="zh-CN"/>
                    </w:rPr>
                    <w:t>导热油炉</w:t>
                  </w:r>
                </w:p>
              </w:tc>
              <w:tc>
                <w:tcPr>
                  <w:tcW w:w="839" w:type="dxa"/>
                  <w:tcBorders>
                    <w:tl2br w:val="nil"/>
                    <w:tr2bl w:val="nil"/>
                  </w:tcBorders>
                  <w:noWrap w:val="0"/>
                  <w:vAlign w:val="center"/>
                </w:tcPr>
                <w:p w14:paraId="6AD33B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布袋除尘器</w:t>
                  </w:r>
                </w:p>
              </w:tc>
              <w:tc>
                <w:tcPr>
                  <w:tcW w:w="790" w:type="dxa"/>
                  <w:tcBorders>
                    <w:tl2br w:val="nil"/>
                    <w:tr2bl w:val="nil"/>
                  </w:tcBorders>
                  <w:noWrap w:val="0"/>
                  <w:vAlign w:val="center"/>
                </w:tcPr>
                <w:p w14:paraId="29B8CE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20</w:t>
                  </w:r>
                </w:p>
              </w:tc>
              <w:tc>
                <w:tcPr>
                  <w:tcW w:w="794" w:type="dxa"/>
                  <w:tcBorders>
                    <w:tl2br w:val="nil"/>
                    <w:tr2bl w:val="nil"/>
                  </w:tcBorders>
                  <w:noWrap w:val="0"/>
                  <w:vAlign w:val="center"/>
                </w:tcPr>
                <w:p w14:paraId="0F4ECE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rPr>
                  </w:pPr>
                  <w:r>
                    <w:rPr>
                      <w:rFonts w:hint="default" w:ascii="Times New Roman" w:hAnsi="Times New Roman" w:eastAsia="宋体" w:cs="宋体"/>
                      <w:caps w:val="0"/>
                      <w:color w:val="auto"/>
                      <w:spacing w:val="0"/>
                      <w:sz w:val="21"/>
                      <w:szCs w:val="21"/>
                      <w:highlight w:val="none"/>
                    </w:rPr>
                    <w:t>0</w:t>
                  </w:r>
                  <w:r>
                    <w:rPr>
                      <w:rFonts w:hint="eastAsia" w:ascii="Times New Roman" w:hAnsi="Times New Roman" w:eastAsia="宋体" w:cs="宋体"/>
                      <w:caps w:val="0"/>
                      <w:color w:val="auto"/>
                      <w:spacing w:val="0"/>
                      <w:sz w:val="21"/>
                      <w:szCs w:val="21"/>
                      <w:highlight w:val="none"/>
                      <w:lang w:eastAsia="zh-CN"/>
                    </w:rPr>
                    <w:t>.</w:t>
                  </w:r>
                  <w:r>
                    <w:rPr>
                      <w:rFonts w:hint="default" w:ascii="Times New Roman" w:hAnsi="Times New Roman" w:eastAsia="宋体" w:cs="宋体"/>
                      <w:caps w:val="0"/>
                      <w:color w:val="auto"/>
                      <w:spacing w:val="0"/>
                      <w:sz w:val="21"/>
                      <w:szCs w:val="21"/>
                      <w:highlight w:val="none"/>
                      <w:lang w:val="en-US" w:eastAsia="zh-CN"/>
                    </w:rPr>
                    <w:t>5</w:t>
                  </w:r>
                </w:p>
              </w:tc>
              <w:tc>
                <w:tcPr>
                  <w:tcW w:w="602" w:type="dxa"/>
                  <w:tcBorders>
                    <w:tl2br w:val="nil"/>
                    <w:tr2bl w:val="nil"/>
                  </w:tcBorders>
                  <w:noWrap w:val="0"/>
                  <w:vAlign w:val="center"/>
                </w:tcPr>
                <w:p w14:paraId="4C1A20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80</w:t>
                  </w:r>
                </w:p>
              </w:tc>
              <w:tc>
                <w:tcPr>
                  <w:tcW w:w="677" w:type="dxa"/>
                  <w:tcBorders>
                    <w:tl2br w:val="nil"/>
                    <w:tr2bl w:val="nil"/>
                  </w:tcBorders>
                  <w:noWrap w:val="0"/>
                  <w:vAlign w:val="center"/>
                </w:tcPr>
                <w:p w14:paraId="4C68D8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w:t>
                  </w:r>
                </w:p>
              </w:tc>
            </w:tr>
          </w:tbl>
          <w:p w14:paraId="5FD2E856">
            <w:pPr>
              <w:pStyle w:val="47"/>
              <w:rPr>
                <w:rFonts w:hint="eastAsia" w:ascii="Times New Roman" w:hAnsi="Times New Roman" w:eastAsia="宋体" w:cs="宋体"/>
                <w:b/>
                <w:bCs w:val="0"/>
                <w:caps w:val="0"/>
                <w:spacing w:val="0"/>
                <w:highlight w:val="none"/>
                <w:lang w:val="en-US" w:eastAsia="zh-CN"/>
              </w:rPr>
            </w:pPr>
            <w:r>
              <w:rPr>
                <w:rFonts w:hint="eastAsia" w:ascii="Times New Roman" w:hAnsi="Times New Roman" w:eastAsia="宋体" w:cs="宋体"/>
                <w:b/>
                <w:bCs w:val="0"/>
                <w:caps w:val="0"/>
                <w:spacing w:val="0"/>
                <w:highlight w:val="none"/>
                <w:lang w:val="en-US" w:eastAsia="zh-CN"/>
              </w:rPr>
              <w:t>1.2烟囱高度设置合理性分析</w:t>
            </w:r>
          </w:p>
          <w:p w14:paraId="74E4BE6D">
            <w:pPr>
              <w:pStyle w:val="48"/>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宋体"/>
                <w:b w:val="0"/>
                <w:bCs w:val="0"/>
                <w:caps w:val="0"/>
                <w:color w:val="auto"/>
                <w:spacing w:val="0"/>
                <w:kern w:val="0"/>
                <w:sz w:val="24"/>
                <w:szCs w:val="24"/>
                <w:highlight w:val="none"/>
                <w:lang w:val="en-US" w:eastAsia="zh-CN" w:bidi="ar-SA"/>
              </w:rPr>
            </w:pPr>
            <w:r>
              <w:rPr>
                <w:rFonts w:hint="eastAsia" w:ascii="Times New Roman" w:hAnsi="Times New Roman" w:eastAsia="宋体" w:cs="宋体"/>
                <w:b w:val="0"/>
                <w:bCs/>
                <w:caps w:val="0"/>
                <w:spacing w:val="0"/>
                <w:sz w:val="24"/>
                <w:highlight w:val="none"/>
                <w:lang w:val="en-US" w:eastAsia="zh-CN"/>
              </w:rPr>
              <w:t>本项目</w:t>
            </w:r>
            <w:r>
              <w:rPr>
                <w:rFonts w:hint="eastAsia" w:ascii="Times New Roman" w:hAnsi="Times New Roman" w:eastAsia="宋体" w:cs="宋体"/>
                <w:b w:val="0"/>
                <w:bCs w:val="0"/>
                <w:caps w:val="0"/>
                <w:color w:val="auto"/>
                <w:spacing w:val="0"/>
                <w:kern w:val="0"/>
                <w:sz w:val="24"/>
                <w:szCs w:val="24"/>
                <w:highlight w:val="none"/>
                <w:lang w:val="en-US" w:eastAsia="zh-CN" w:bidi="ar-SA"/>
              </w:rPr>
              <w:t>锅炉房</w:t>
            </w:r>
            <w:r>
              <w:rPr>
                <w:rFonts w:hint="default" w:ascii="Times New Roman" w:hAnsi="Times New Roman" w:eastAsia="宋体" w:cs="宋体"/>
                <w:b w:val="0"/>
                <w:bCs/>
                <w:caps w:val="0"/>
                <w:spacing w:val="0"/>
                <w:sz w:val="24"/>
                <w:highlight w:val="none"/>
                <w:lang w:val="en-US" w:eastAsia="zh-CN"/>
              </w:rPr>
              <w:t>DA00</w:t>
            </w:r>
            <w:r>
              <w:rPr>
                <w:rFonts w:hint="eastAsia" w:ascii="Times New Roman" w:hAnsi="Times New Roman" w:eastAsia="宋体" w:cs="宋体"/>
                <w:b w:val="0"/>
                <w:bCs/>
                <w:caps w:val="0"/>
                <w:spacing w:val="0"/>
                <w:sz w:val="24"/>
                <w:highlight w:val="none"/>
                <w:lang w:val="en-US" w:eastAsia="zh-CN"/>
              </w:rPr>
              <w:t>3、DA004烟囱建设高度20米，满足</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锅炉大气污染物排放标准</w:t>
            </w:r>
            <w:r>
              <w:rPr>
                <w:rFonts w:hint="eastAsia" w:ascii="Times New Roman" w:hAnsi="Times New Roman" w:eastAsia="宋体" w:cs="宋体"/>
                <w:caps w:val="0"/>
                <w:spacing w:val="0"/>
                <w:sz w:val="24"/>
                <w:highlight w:val="none"/>
              </w:rPr>
              <w:t>》（</w:t>
            </w:r>
            <w:r>
              <w:rPr>
                <w:rFonts w:hint="default" w:ascii="Times New Roman" w:hAnsi="Times New Roman" w:eastAsia="宋体" w:cs="宋体"/>
                <w:caps w:val="0"/>
                <w:spacing w:val="0"/>
                <w:sz w:val="24"/>
                <w:highlight w:val="none"/>
              </w:rPr>
              <w:t>GB</w:t>
            </w:r>
            <w:r>
              <w:rPr>
                <w:rFonts w:hint="default" w:ascii="Times New Roman" w:hAnsi="Times New Roman" w:eastAsia="宋体" w:cs="宋体"/>
                <w:caps w:val="0"/>
                <w:spacing w:val="0"/>
                <w:sz w:val="24"/>
                <w:highlight w:val="none"/>
                <w:lang w:val="en-US" w:eastAsia="zh-CN"/>
              </w:rPr>
              <w:t>13271</w:t>
            </w:r>
            <w:r>
              <w:rPr>
                <w:rFonts w:hint="eastAsia" w:ascii="Times New Roman" w:hAnsi="Times New Roman" w:eastAsia="宋体" w:cs="宋体"/>
                <w:caps w:val="0"/>
                <w:spacing w:val="0"/>
                <w:sz w:val="24"/>
                <w:highlight w:val="none"/>
              </w:rPr>
              <w:t>-</w:t>
            </w:r>
            <w:r>
              <w:rPr>
                <w:rFonts w:hint="default" w:ascii="Times New Roman" w:hAnsi="Times New Roman" w:eastAsia="宋体" w:cs="宋体"/>
                <w:caps w:val="0"/>
                <w:spacing w:val="0"/>
                <w:sz w:val="24"/>
                <w:highlight w:val="none"/>
                <w:lang w:val="en-US" w:eastAsia="zh-CN"/>
              </w:rPr>
              <w:t>2014</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燃油</w:t>
            </w:r>
            <w:r>
              <w:rPr>
                <w:rFonts w:hint="eastAsia" w:ascii="Times New Roman" w:hAnsi="Times New Roman" w:eastAsia="宋体" w:cs="宋体"/>
                <w:b w:val="0"/>
                <w:bCs w:val="0"/>
                <w:caps w:val="0"/>
                <w:color w:val="auto"/>
                <w:spacing w:val="0"/>
                <w:kern w:val="0"/>
                <w:sz w:val="24"/>
                <w:szCs w:val="24"/>
                <w:highlight w:val="none"/>
                <w:lang w:val="en-US" w:eastAsia="zh-CN" w:bidi="ar-SA"/>
              </w:rPr>
              <w:t>锅炉房烟囱不低于8m。本项目锅炉房烟囱周围半径</w:t>
            </w:r>
            <w:r>
              <w:rPr>
                <w:rFonts w:hint="default" w:ascii="Times New Roman" w:hAnsi="Times New Roman" w:eastAsia="宋体" w:cs="宋体"/>
                <w:b w:val="0"/>
                <w:bCs w:val="0"/>
                <w:caps w:val="0"/>
                <w:color w:val="auto"/>
                <w:spacing w:val="0"/>
                <w:kern w:val="0"/>
                <w:sz w:val="24"/>
                <w:szCs w:val="24"/>
                <w:highlight w:val="none"/>
                <w:lang w:val="en-US" w:eastAsia="zh-CN" w:bidi="ar-SA"/>
              </w:rPr>
              <w:t>200</w:t>
            </w:r>
            <w:r>
              <w:rPr>
                <w:rFonts w:hint="eastAsia" w:ascii="Times New Roman" w:hAnsi="Times New Roman" w:eastAsia="宋体" w:cs="宋体"/>
                <w:b w:val="0"/>
                <w:bCs w:val="0"/>
                <w:caps w:val="0"/>
                <w:color w:val="auto"/>
                <w:spacing w:val="0"/>
                <w:kern w:val="0"/>
                <w:sz w:val="24"/>
                <w:szCs w:val="24"/>
                <w:highlight w:val="none"/>
                <w:lang w:val="en-US" w:eastAsia="zh-CN" w:bidi="ar-SA"/>
              </w:rPr>
              <w:t>米范围内最高建筑为本项目生产车间，高度8</w:t>
            </w:r>
            <w:r>
              <w:rPr>
                <w:rFonts w:hint="default" w:ascii="Times New Roman" w:hAnsi="Times New Roman" w:eastAsia="宋体" w:cs="宋体"/>
                <w:b w:val="0"/>
                <w:bCs w:val="0"/>
                <w:caps w:val="0"/>
                <w:color w:val="auto"/>
                <w:spacing w:val="0"/>
                <w:kern w:val="0"/>
                <w:sz w:val="24"/>
                <w:szCs w:val="24"/>
                <w:highlight w:val="none"/>
                <w:lang w:val="en-US" w:eastAsia="zh-CN" w:bidi="ar-SA"/>
              </w:rPr>
              <w:t>m</w:t>
            </w:r>
            <w:r>
              <w:rPr>
                <w:rFonts w:hint="eastAsia" w:ascii="Times New Roman" w:hAnsi="Times New Roman" w:eastAsia="宋体" w:cs="宋体"/>
                <w:b w:val="0"/>
                <w:bCs w:val="0"/>
                <w:caps w:val="0"/>
                <w:color w:val="auto"/>
                <w:spacing w:val="0"/>
                <w:kern w:val="0"/>
                <w:sz w:val="24"/>
                <w:szCs w:val="24"/>
                <w:highlight w:val="none"/>
                <w:lang w:val="en-US" w:eastAsia="zh-CN" w:bidi="ar-SA"/>
              </w:rPr>
              <w:t>，满足高出最高建筑物</w:t>
            </w:r>
            <w:r>
              <w:rPr>
                <w:rFonts w:hint="default" w:ascii="Times New Roman" w:hAnsi="Times New Roman" w:eastAsia="宋体" w:cs="宋体"/>
                <w:b w:val="0"/>
                <w:bCs w:val="0"/>
                <w:caps w:val="0"/>
                <w:color w:val="auto"/>
                <w:spacing w:val="0"/>
                <w:kern w:val="0"/>
                <w:sz w:val="24"/>
                <w:szCs w:val="24"/>
                <w:highlight w:val="none"/>
                <w:lang w:val="en-US" w:eastAsia="zh-CN" w:bidi="ar-SA"/>
              </w:rPr>
              <w:t>3m</w:t>
            </w:r>
            <w:r>
              <w:rPr>
                <w:rFonts w:hint="eastAsia" w:ascii="Times New Roman" w:hAnsi="Times New Roman" w:eastAsia="宋体" w:cs="宋体"/>
                <w:b w:val="0"/>
                <w:bCs w:val="0"/>
                <w:caps w:val="0"/>
                <w:color w:val="auto"/>
                <w:spacing w:val="0"/>
                <w:kern w:val="0"/>
                <w:sz w:val="24"/>
                <w:szCs w:val="24"/>
                <w:highlight w:val="none"/>
                <w:lang w:val="en-US" w:eastAsia="zh-CN" w:bidi="ar-SA"/>
              </w:rPr>
              <w:t>以上要求。</w:t>
            </w:r>
          </w:p>
          <w:p w14:paraId="1075E880">
            <w:pPr>
              <w:rPr>
                <w:rFonts w:hint="eastAsia" w:ascii="Times New Roman" w:hAnsi="Times New Roman" w:eastAsia="宋体" w:cs="宋体"/>
                <w:b/>
                <w:bCs w:val="0"/>
                <w:caps w:val="0"/>
                <w:highlight w:val="none"/>
                <w:lang w:val="en-US" w:eastAsia="zh-CN"/>
              </w:rPr>
            </w:pPr>
            <w:r>
              <w:rPr>
                <w:rFonts w:hint="eastAsia" w:ascii="Times New Roman" w:hAnsi="Times New Roman" w:eastAsia="宋体" w:cs="宋体"/>
                <w:b/>
                <w:bCs w:val="0"/>
                <w:caps w:val="0"/>
                <w:highlight w:val="none"/>
                <w:lang w:val="en-US" w:eastAsia="zh-CN"/>
              </w:rPr>
              <w:t>1.3污染防治技术可行性分析</w:t>
            </w:r>
          </w:p>
          <w:p w14:paraId="7EFB36F0">
            <w:pPr>
              <w:rPr>
                <w:rFonts w:hint="default"/>
                <w:color w:val="auto"/>
                <w:highlight w:val="none"/>
                <w:lang w:val="en-US" w:eastAsia="zh-CN"/>
              </w:rPr>
            </w:pPr>
            <w:r>
              <w:rPr>
                <w:rFonts w:hint="eastAsia" w:ascii="宋体" w:hAnsi="宋体" w:eastAsia="宋体" w:cs="宋体"/>
                <w:color w:val="auto"/>
                <w:sz w:val="24"/>
                <w:szCs w:val="24"/>
                <w:highlight w:val="none"/>
                <w:lang w:val="en-US" w:eastAsia="zh-CN"/>
              </w:rPr>
              <w:t>根据</w:t>
            </w:r>
            <w:r>
              <w:rPr>
                <w:rFonts w:hint="eastAsia" w:ascii="宋体" w:hAnsi="宋体" w:eastAsia="宋体" w:cs="宋体"/>
                <w:color w:val="auto"/>
                <w:spacing w:val="0"/>
                <w:sz w:val="24"/>
                <w:highlight w:val="none"/>
                <w:lang w:val="en-US" w:eastAsia="zh-CN"/>
              </w:rPr>
              <w:t>《排污许可证申请与核发技术规范 锅炉》</w:t>
            </w:r>
            <w:r>
              <w:rPr>
                <w:rFonts w:hint="eastAsia" w:cs="宋体"/>
                <w:color w:val="auto"/>
                <w:spacing w:val="0"/>
                <w:sz w:val="24"/>
                <w:highlight w:val="none"/>
                <w:lang w:val="en-US" w:eastAsia="zh-CN"/>
              </w:rPr>
              <w:t>（</w:t>
            </w:r>
            <w:r>
              <w:rPr>
                <w:rFonts w:hint="eastAsia" w:ascii="宋体" w:hAnsi="宋体" w:eastAsia="宋体" w:cs="宋体"/>
                <w:color w:val="auto"/>
                <w:spacing w:val="0"/>
                <w:sz w:val="24"/>
                <w:highlight w:val="none"/>
                <w:lang w:val="en-US" w:eastAsia="zh-CN"/>
              </w:rPr>
              <w:t>HJ953—2018</w:t>
            </w:r>
            <w:r>
              <w:rPr>
                <w:rFonts w:hint="eastAsia" w:cs="宋体"/>
                <w:color w:val="auto"/>
                <w:spacing w:val="0"/>
                <w:sz w:val="24"/>
                <w:highlight w:val="none"/>
                <w:lang w:val="en-US" w:eastAsia="zh-CN"/>
              </w:rPr>
              <w:t>），本项目废气采取环保措施可行性分析如下表：</w:t>
            </w:r>
          </w:p>
          <w:p w14:paraId="6D2990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bCs/>
                <w:color w:val="auto"/>
                <w:spacing w:val="0"/>
                <w:kern w:val="0"/>
                <w:sz w:val="21"/>
                <w:szCs w:val="21"/>
                <w:highlight w:val="none"/>
                <w:lang w:val="en-US" w:eastAsia="zh-CN"/>
              </w:rPr>
            </w:pPr>
            <w:r>
              <w:rPr>
                <w:rFonts w:hint="eastAsia" w:cs="宋体"/>
                <w:b/>
                <w:bCs/>
                <w:color w:val="auto"/>
                <w:spacing w:val="0"/>
                <w:kern w:val="0"/>
                <w:sz w:val="21"/>
                <w:szCs w:val="21"/>
                <w:highlight w:val="none"/>
                <w:lang w:val="en-US" w:eastAsia="zh-CN"/>
              </w:rPr>
              <w:t>表4-4 可行性技术汇总表</w:t>
            </w:r>
          </w:p>
          <w:tbl>
            <w:tblPr>
              <w:tblStyle w:val="36"/>
              <w:tblW w:w="7971" w:type="dxa"/>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3"/>
              <w:gridCol w:w="3661"/>
              <w:gridCol w:w="2657"/>
            </w:tblGrid>
            <w:tr w14:paraId="7F80C8E7">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593B6B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污染物</w:t>
                  </w:r>
                </w:p>
              </w:tc>
              <w:tc>
                <w:tcPr>
                  <w:tcW w:w="3661" w:type="dxa"/>
                  <w:tcBorders>
                    <w:tl2br w:val="nil"/>
                    <w:tr2bl w:val="nil"/>
                  </w:tcBorders>
                  <w:vAlign w:val="center"/>
                </w:tcPr>
                <w:p w14:paraId="5550E2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治理措施</w:t>
                  </w:r>
                </w:p>
              </w:tc>
              <w:tc>
                <w:tcPr>
                  <w:tcW w:w="2657" w:type="dxa"/>
                  <w:tcBorders>
                    <w:tl2br w:val="nil"/>
                    <w:tr2bl w:val="nil"/>
                  </w:tcBorders>
                  <w:vAlign w:val="center"/>
                </w:tcPr>
                <w:p w14:paraId="368E75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是否为可行性技术</w:t>
                  </w:r>
                </w:p>
              </w:tc>
            </w:tr>
            <w:tr w14:paraId="31D5FB8A">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722E5D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颗粒物</w:t>
                  </w:r>
                </w:p>
              </w:tc>
              <w:tc>
                <w:tcPr>
                  <w:tcW w:w="3661" w:type="dxa"/>
                  <w:tcBorders>
                    <w:tl2br w:val="nil"/>
                    <w:tr2bl w:val="nil"/>
                  </w:tcBorders>
                  <w:vAlign w:val="center"/>
                </w:tcPr>
                <w:p w14:paraId="363167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布袋除尘器</w:t>
                  </w:r>
                </w:p>
              </w:tc>
              <w:tc>
                <w:tcPr>
                  <w:tcW w:w="2657" w:type="dxa"/>
                  <w:tcBorders>
                    <w:tl2br w:val="nil"/>
                    <w:tr2bl w:val="nil"/>
                  </w:tcBorders>
                  <w:vAlign w:val="center"/>
                </w:tcPr>
                <w:p w14:paraId="04696A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是</w:t>
                  </w:r>
                </w:p>
              </w:tc>
            </w:tr>
            <w:tr w14:paraId="4860D876">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0B5A2D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氮氧化物</w:t>
                  </w:r>
                </w:p>
              </w:tc>
              <w:tc>
                <w:tcPr>
                  <w:tcW w:w="3661" w:type="dxa"/>
                  <w:tcBorders>
                    <w:tl2br w:val="nil"/>
                    <w:tr2bl w:val="nil"/>
                  </w:tcBorders>
                  <w:vAlign w:val="center"/>
                </w:tcPr>
                <w:p w14:paraId="45860B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低氮燃烧器</w:t>
                  </w:r>
                </w:p>
              </w:tc>
              <w:tc>
                <w:tcPr>
                  <w:tcW w:w="2657" w:type="dxa"/>
                  <w:tcBorders>
                    <w:tl2br w:val="nil"/>
                    <w:tr2bl w:val="nil"/>
                  </w:tcBorders>
                  <w:vAlign w:val="center"/>
                </w:tcPr>
                <w:p w14:paraId="4FAFAB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是</w:t>
                  </w:r>
                </w:p>
              </w:tc>
            </w:tr>
            <w:tr w14:paraId="1AA53364">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4B058B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二氧化硫</w:t>
                  </w:r>
                </w:p>
              </w:tc>
              <w:tc>
                <w:tcPr>
                  <w:tcW w:w="3661" w:type="dxa"/>
                  <w:tcBorders>
                    <w:tl2br w:val="nil"/>
                    <w:tr2bl w:val="nil"/>
                  </w:tcBorders>
                  <w:vAlign w:val="center"/>
                </w:tcPr>
                <w:p w14:paraId="178B8C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燃用低硫油</w:t>
                  </w:r>
                </w:p>
              </w:tc>
              <w:tc>
                <w:tcPr>
                  <w:tcW w:w="2657" w:type="dxa"/>
                  <w:tcBorders>
                    <w:tl2br w:val="nil"/>
                    <w:tr2bl w:val="nil"/>
                  </w:tcBorders>
                  <w:vAlign w:val="center"/>
                </w:tcPr>
                <w:p w14:paraId="39B9FC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是</w:t>
                  </w:r>
                </w:p>
              </w:tc>
            </w:tr>
          </w:tbl>
          <w:p w14:paraId="36EFEE11">
            <w:pPr>
              <w:rPr>
                <w:rFonts w:hint="default" w:ascii="Times New Roman" w:hAnsi="Times New Roman" w:eastAsia="宋体" w:cs="宋体"/>
                <w:caps w:val="0"/>
                <w:highlight w:val="none"/>
                <w:lang w:val="en-US" w:eastAsia="zh-CN"/>
              </w:rPr>
            </w:pPr>
            <w:r>
              <w:rPr>
                <w:rFonts w:hint="eastAsia" w:cs="宋体"/>
                <w:b w:val="0"/>
                <w:bCs w:val="0"/>
                <w:color w:val="auto"/>
                <w:spacing w:val="0"/>
                <w:kern w:val="0"/>
                <w:sz w:val="24"/>
                <w:highlight w:val="none"/>
                <w:lang w:val="en-US" w:eastAsia="zh-CN"/>
              </w:rPr>
              <w:t>根据</w:t>
            </w:r>
            <w:r>
              <w:rPr>
                <w:rFonts w:hint="eastAsia" w:ascii="宋体" w:hAnsi="宋体" w:eastAsia="宋体" w:cs="宋体"/>
                <w:b w:val="0"/>
                <w:bCs w:val="0"/>
                <w:color w:val="auto"/>
                <w:spacing w:val="0"/>
                <w:sz w:val="24"/>
                <w:highlight w:val="none"/>
                <w:lang w:val="en-US" w:eastAsia="zh-CN"/>
              </w:rPr>
              <w:t>《</w:t>
            </w:r>
            <w:r>
              <w:rPr>
                <w:rFonts w:hint="eastAsia" w:cs="宋体"/>
                <w:b w:val="0"/>
                <w:bCs w:val="0"/>
                <w:color w:val="auto"/>
                <w:spacing w:val="0"/>
                <w:kern w:val="0"/>
                <w:sz w:val="24"/>
                <w:highlight w:val="none"/>
                <w:lang w:val="en-US" w:eastAsia="zh-CN"/>
              </w:rPr>
              <w:t>工业锅炉污染防治可行技术指南</w:t>
            </w:r>
            <w:r>
              <w:rPr>
                <w:rFonts w:hint="eastAsia" w:ascii="宋体" w:hAnsi="宋体" w:eastAsia="宋体" w:cs="宋体"/>
                <w:b w:val="0"/>
                <w:bCs w:val="0"/>
                <w:color w:val="auto"/>
                <w:spacing w:val="0"/>
                <w:sz w:val="24"/>
                <w:highlight w:val="none"/>
                <w:lang w:val="en-US" w:eastAsia="zh-CN"/>
              </w:rPr>
              <w:t>》</w:t>
            </w:r>
            <w:r>
              <w:rPr>
                <w:rFonts w:hint="eastAsia" w:cs="宋体"/>
                <w:b w:val="0"/>
                <w:bCs w:val="0"/>
                <w:color w:val="auto"/>
                <w:spacing w:val="0"/>
                <w:kern w:val="0"/>
                <w:sz w:val="24"/>
                <w:highlight w:val="none"/>
                <w:lang w:val="en-US" w:eastAsia="zh-CN"/>
              </w:rPr>
              <w:t>（HJ 1178—2021）、</w:t>
            </w:r>
            <w:r>
              <w:rPr>
                <w:rFonts w:hint="eastAsia" w:ascii="宋体" w:hAnsi="宋体" w:eastAsia="宋体" w:cs="宋体"/>
                <w:b w:val="0"/>
                <w:bCs w:val="0"/>
                <w:color w:val="auto"/>
                <w:spacing w:val="0"/>
                <w:sz w:val="24"/>
                <w:highlight w:val="none"/>
                <w:lang w:val="en-US" w:eastAsia="zh-CN"/>
              </w:rPr>
              <w:t>《</w:t>
            </w:r>
            <w:r>
              <w:rPr>
                <w:rFonts w:hint="eastAsia" w:cs="宋体"/>
                <w:b w:val="0"/>
                <w:bCs w:val="0"/>
                <w:color w:val="auto"/>
                <w:spacing w:val="0"/>
                <w:kern w:val="0"/>
                <w:sz w:val="24"/>
                <w:highlight w:val="none"/>
                <w:lang w:val="en-US" w:eastAsia="zh-CN"/>
              </w:rPr>
              <w:t>工业锅炉烟气治理工程技术规范</w:t>
            </w:r>
            <w:r>
              <w:rPr>
                <w:rFonts w:hint="eastAsia" w:ascii="宋体" w:hAnsi="宋体" w:eastAsia="宋体" w:cs="宋体"/>
                <w:b w:val="0"/>
                <w:bCs w:val="0"/>
                <w:color w:val="auto"/>
                <w:spacing w:val="0"/>
                <w:sz w:val="24"/>
                <w:highlight w:val="none"/>
                <w:lang w:val="en-US" w:eastAsia="zh-CN"/>
              </w:rPr>
              <w:t>》</w:t>
            </w:r>
            <w:r>
              <w:rPr>
                <w:rFonts w:hint="eastAsia" w:cs="宋体"/>
                <w:b w:val="0"/>
                <w:bCs w:val="0"/>
                <w:color w:val="auto"/>
                <w:spacing w:val="0"/>
                <w:kern w:val="0"/>
                <w:sz w:val="24"/>
                <w:highlight w:val="none"/>
                <w:lang w:val="en-US" w:eastAsia="zh-CN"/>
              </w:rPr>
              <w:t>（HJ 462—2021），本项目预处理采用低氮燃烧，治理措施采用布袋除尘器，符合采用袋式除尘要求。</w:t>
            </w:r>
          </w:p>
          <w:p w14:paraId="775504D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宋体"/>
                <w:b/>
                <w:bCs/>
                <w:caps w:val="0"/>
                <w:spacing w:val="0"/>
                <w:kern w:val="0"/>
                <w:sz w:val="24"/>
                <w:highlight w:val="none"/>
              </w:rPr>
            </w:pPr>
            <w:r>
              <w:rPr>
                <w:rFonts w:hint="eastAsia" w:ascii="Times New Roman" w:hAnsi="Times New Roman" w:eastAsia="宋体" w:cs="宋体"/>
                <w:b/>
                <w:bCs/>
                <w:caps w:val="0"/>
                <w:spacing w:val="0"/>
                <w:kern w:val="0"/>
                <w:sz w:val="24"/>
                <w:highlight w:val="none"/>
                <w:lang w:val="en-US" w:eastAsia="zh-CN"/>
              </w:rPr>
              <w:t>1.4</w:t>
            </w:r>
            <w:r>
              <w:rPr>
                <w:rFonts w:hint="eastAsia" w:ascii="Times New Roman" w:hAnsi="Times New Roman" w:eastAsia="宋体" w:cs="宋体"/>
                <w:b/>
                <w:bCs/>
                <w:caps w:val="0"/>
                <w:spacing w:val="0"/>
                <w:kern w:val="0"/>
                <w:sz w:val="24"/>
                <w:highlight w:val="none"/>
              </w:rPr>
              <w:t>有组织废气排放达标分析</w:t>
            </w:r>
          </w:p>
          <w:p w14:paraId="2202FDB9">
            <w:pPr>
              <w:spacing w:line="360" w:lineRule="auto"/>
              <w:ind w:firstLine="480" w:firstLineChars="200"/>
              <w:rPr>
                <w:rFonts w:hint="eastAsia" w:ascii="Times New Roman" w:hAnsi="Times New Roman" w:eastAsia="宋体" w:cs="宋体"/>
                <w:caps w:val="0"/>
                <w:spacing w:val="0"/>
                <w:kern w:val="0"/>
                <w:sz w:val="24"/>
                <w:highlight w:val="none"/>
              </w:rPr>
            </w:pPr>
            <w:r>
              <w:rPr>
                <w:rFonts w:hint="eastAsia" w:ascii="Times New Roman" w:hAnsi="Times New Roman" w:eastAsia="宋体" w:cs="宋体"/>
                <w:caps w:val="0"/>
                <w:spacing w:val="0"/>
                <w:kern w:val="0"/>
                <w:sz w:val="24"/>
                <w:highlight w:val="none"/>
              </w:rPr>
              <w:t>根据工程分析，本项目各排气筒污染物达标排放情况见下表。</w:t>
            </w:r>
          </w:p>
          <w:p w14:paraId="2473C9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b/>
                <w:bCs/>
                <w:caps w:val="0"/>
                <w:spacing w:val="0"/>
                <w:kern w:val="0"/>
                <w:sz w:val="21"/>
                <w:szCs w:val="21"/>
                <w:highlight w:val="none"/>
              </w:rPr>
            </w:pPr>
            <w:r>
              <w:rPr>
                <w:rFonts w:hint="eastAsia" w:ascii="Times New Roman" w:hAnsi="Times New Roman" w:eastAsia="宋体" w:cs="宋体"/>
                <w:b/>
                <w:bCs/>
                <w:caps w:val="0"/>
                <w:spacing w:val="0"/>
                <w:kern w:val="0"/>
                <w:sz w:val="21"/>
                <w:szCs w:val="21"/>
                <w:highlight w:val="none"/>
              </w:rPr>
              <w:t>表4-</w:t>
            </w:r>
            <w:r>
              <w:rPr>
                <w:rFonts w:hint="eastAsia" w:ascii="Times New Roman" w:hAnsi="Times New Roman" w:cs="宋体"/>
                <w:b/>
                <w:bCs/>
                <w:caps w:val="0"/>
                <w:spacing w:val="0"/>
                <w:kern w:val="0"/>
                <w:sz w:val="21"/>
                <w:szCs w:val="21"/>
                <w:highlight w:val="none"/>
                <w:lang w:val="en-US" w:eastAsia="zh-CN"/>
              </w:rPr>
              <w:t>5</w:t>
            </w:r>
            <w:r>
              <w:rPr>
                <w:rFonts w:hint="eastAsia" w:ascii="Times New Roman" w:hAnsi="Times New Roman" w:eastAsia="宋体" w:cs="宋体"/>
                <w:b/>
                <w:bCs/>
                <w:caps w:val="0"/>
                <w:spacing w:val="0"/>
                <w:kern w:val="0"/>
                <w:sz w:val="21"/>
                <w:szCs w:val="21"/>
                <w:highlight w:val="none"/>
              </w:rPr>
              <w:t xml:space="preserve"> 本项目废气达标排放情况汇总表</w:t>
            </w:r>
          </w:p>
          <w:tbl>
            <w:tblPr>
              <w:tblStyle w:val="35"/>
              <w:tblW w:w="48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1"/>
              <w:gridCol w:w="1587"/>
              <w:gridCol w:w="790"/>
              <w:gridCol w:w="1091"/>
              <w:gridCol w:w="33"/>
              <w:gridCol w:w="1060"/>
              <w:gridCol w:w="958"/>
              <w:gridCol w:w="1013"/>
              <w:gridCol w:w="730"/>
            </w:tblGrid>
            <w:tr w14:paraId="01180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dxa"/>
                  <w:vMerge w:val="restart"/>
                  <w:tcBorders>
                    <w:top w:val="single" w:color="auto" w:sz="12" w:space="0"/>
                    <w:left w:val="nil"/>
                    <w:bottom w:val="single" w:color="auto" w:sz="4" w:space="0"/>
                    <w:right w:val="single" w:color="auto" w:sz="4" w:space="0"/>
                  </w:tcBorders>
                  <w:noWrap w:val="0"/>
                  <w:vAlign w:val="center"/>
                </w:tcPr>
                <w:p w14:paraId="461E0B1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rPr>
                  </w:pPr>
                  <w:r>
                    <w:rPr>
                      <w:rFonts w:hint="eastAsia" w:ascii="Times New Roman" w:hAnsi="Times New Roman" w:eastAsia="宋体" w:cs="宋体"/>
                      <w:b/>
                      <w:bCs/>
                      <w:caps w:val="0"/>
                      <w:spacing w:val="0"/>
                      <w:sz w:val="21"/>
                      <w:szCs w:val="21"/>
                      <w:highlight w:val="none"/>
                    </w:rPr>
                    <w:t>污染源</w:t>
                  </w:r>
                </w:p>
              </w:tc>
              <w:tc>
                <w:tcPr>
                  <w:tcW w:w="1589" w:type="dxa"/>
                  <w:vMerge w:val="restart"/>
                  <w:tcBorders>
                    <w:top w:val="single" w:color="auto" w:sz="12" w:space="0"/>
                    <w:left w:val="single" w:color="auto" w:sz="4" w:space="0"/>
                    <w:bottom w:val="single" w:color="auto" w:sz="4" w:space="0"/>
                    <w:right w:val="single" w:color="auto" w:sz="4" w:space="0"/>
                  </w:tcBorders>
                  <w:noWrap w:val="0"/>
                  <w:vAlign w:val="center"/>
                </w:tcPr>
                <w:p w14:paraId="137F729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rPr>
                  </w:pPr>
                  <w:r>
                    <w:rPr>
                      <w:rFonts w:hint="eastAsia" w:ascii="Times New Roman" w:hAnsi="Times New Roman" w:eastAsia="宋体" w:cs="宋体"/>
                      <w:b/>
                      <w:bCs/>
                      <w:caps w:val="0"/>
                      <w:spacing w:val="0"/>
                      <w:sz w:val="21"/>
                      <w:szCs w:val="21"/>
                      <w:highlight w:val="none"/>
                    </w:rPr>
                    <w:t>污染物</w:t>
                  </w:r>
                </w:p>
              </w:tc>
              <w:tc>
                <w:tcPr>
                  <w:tcW w:w="791" w:type="dxa"/>
                  <w:vMerge w:val="restart"/>
                  <w:tcBorders>
                    <w:top w:val="single" w:color="auto" w:sz="12" w:space="0"/>
                    <w:left w:val="single" w:color="auto" w:sz="4" w:space="0"/>
                    <w:bottom w:val="single" w:color="auto" w:sz="4" w:space="0"/>
                    <w:right w:val="single" w:color="auto" w:sz="4" w:space="0"/>
                  </w:tcBorders>
                  <w:noWrap w:val="0"/>
                  <w:vAlign w:val="center"/>
                </w:tcPr>
                <w:p w14:paraId="645E349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rPr>
                  </w:pPr>
                  <w:r>
                    <w:rPr>
                      <w:rFonts w:hint="eastAsia" w:ascii="Times New Roman" w:hAnsi="Times New Roman" w:eastAsia="宋体" w:cs="宋体"/>
                      <w:b/>
                      <w:bCs/>
                      <w:caps w:val="0"/>
                      <w:spacing w:val="0"/>
                      <w:sz w:val="21"/>
                      <w:szCs w:val="21"/>
                      <w:highlight w:val="none"/>
                    </w:rPr>
                    <w:t>排气筒高度m</w:t>
                  </w:r>
                </w:p>
              </w:tc>
              <w:tc>
                <w:tcPr>
                  <w:tcW w:w="2186" w:type="dxa"/>
                  <w:gridSpan w:val="3"/>
                  <w:tcBorders>
                    <w:top w:val="single" w:color="auto" w:sz="12" w:space="0"/>
                    <w:left w:val="single" w:color="auto" w:sz="4" w:space="0"/>
                    <w:bottom w:val="single" w:color="auto" w:sz="4" w:space="0"/>
                    <w:right w:val="single" w:color="auto" w:sz="4" w:space="0"/>
                  </w:tcBorders>
                  <w:noWrap w:val="0"/>
                  <w:vAlign w:val="center"/>
                </w:tcPr>
                <w:p w14:paraId="4FD038C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rPr>
                  </w:pPr>
                  <w:r>
                    <w:rPr>
                      <w:rFonts w:hint="eastAsia" w:ascii="Times New Roman" w:hAnsi="Times New Roman" w:eastAsia="宋体" w:cs="宋体"/>
                      <w:b/>
                      <w:bCs/>
                      <w:caps w:val="0"/>
                      <w:spacing w:val="0"/>
                      <w:sz w:val="21"/>
                      <w:szCs w:val="21"/>
                      <w:highlight w:val="none"/>
                    </w:rPr>
                    <w:t>排放情况</w:t>
                  </w:r>
                </w:p>
              </w:tc>
              <w:tc>
                <w:tcPr>
                  <w:tcW w:w="1973" w:type="dxa"/>
                  <w:gridSpan w:val="2"/>
                  <w:tcBorders>
                    <w:top w:val="single" w:color="auto" w:sz="12" w:space="0"/>
                    <w:left w:val="single" w:color="auto" w:sz="4" w:space="0"/>
                    <w:bottom w:val="single" w:color="auto" w:sz="4" w:space="0"/>
                    <w:right w:val="single" w:color="auto" w:sz="4" w:space="0"/>
                  </w:tcBorders>
                  <w:noWrap w:val="0"/>
                  <w:vAlign w:val="center"/>
                </w:tcPr>
                <w:p w14:paraId="2B06538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rPr>
                  </w:pPr>
                  <w:r>
                    <w:rPr>
                      <w:rFonts w:hint="eastAsia" w:ascii="Times New Roman" w:hAnsi="Times New Roman" w:eastAsia="宋体" w:cs="宋体"/>
                      <w:b/>
                      <w:bCs/>
                      <w:caps w:val="0"/>
                      <w:spacing w:val="0"/>
                      <w:sz w:val="21"/>
                      <w:szCs w:val="21"/>
                      <w:highlight w:val="none"/>
                    </w:rPr>
                    <w:t>排放执行标准</w:t>
                  </w:r>
                </w:p>
              </w:tc>
              <w:tc>
                <w:tcPr>
                  <w:tcW w:w="731" w:type="dxa"/>
                  <w:vMerge w:val="restart"/>
                  <w:tcBorders>
                    <w:top w:val="single" w:color="auto" w:sz="12" w:space="0"/>
                    <w:left w:val="single" w:color="auto" w:sz="4" w:space="0"/>
                    <w:bottom w:val="single" w:color="auto" w:sz="4" w:space="0"/>
                    <w:right w:val="nil"/>
                  </w:tcBorders>
                  <w:noWrap w:val="0"/>
                  <w:vAlign w:val="center"/>
                </w:tcPr>
                <w:p w14:paraId="4C3DB41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rPr>
                  </w:pPr>
                  <w:r>
                    <w:rPr>
                      <w:rFonts w:hint="eastAsia" w:ascii="Times New Roman" w:hAnsi="Times New Roman" w:eastAsia="宋体" w:cs="宋体"/>
                      <w:b/>
                      <w:bCs/>
                      <w:caps w:val="0"/>
                      <w:spacing w:val="0"/>
                      <w:sz w:val="21"/>
                      <w:szCs w:val="21"/>
                      <w:highlight w:val="none"/>
                    </w:rPr>
                    <w:t>是否达标</w:t>
                  </w:r>
                </w:p>
              </w:tc>
            </w:tr>
            <w:tr w14:paraId="067F6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dxa"/>
                  <w:vMerge w:val="continue"/>
                  <w:tcBorders>
                    <w:top w:val="single" w:color="auto" w:sz="4" w:space="0"/>
                    <w:left w:val="nil"/>
                    <w:bottom w:val="single" w:color="auto" w:sz="4" w:space="0"/>
                    <w:right w:val="single" w:color="auto" w:sz="4" w:space="0"/>
                  </w:tcBorders>
                  <w:noWrap w:val="0"/>
                  <w:vAlign w:val="center"/>
                </w:tcPr>
                <w:p w14:paraId="50266DB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宋体"/>
                      <w:b/>
                      <w:bCs/>
                      <w:caps w:val="0"/>
                      <w:spacing w:val="0"/>
                      <w:sz w:val="21"/>
                      <w:szCs w:val="21"/>
                      <w:highlight w:val="none"/>
                    </w:rPr>
                  </w:pPr>
                </w:p>
              </w:tc>
              <w:tc>
                <w:tcPr>
                  <w:tcW w:w="1589" w:type="dxa"/>
                  <w:vMerge w:val="continue"/>
                  <w:tcBorders>
                    <w:top w:val="single" w:color="auto" w:sz="4" w:space="0"/>
                    <w:left w:val="single" w:color="auto" w:sz="4" w:space="0"/>
                    <w:bottom w:val="single" w:color="auto" w:sz="4" w:space="0"/>
                    <w:right w:val="single" w:color="auto" w:sz="4" w:space="0"/>
                  </w:tcBorders>
                  <w:noWrap w:val="0"/>
                  <w:vAlign w:val="center"/>
                </w:tcPr>
                <w:p w14:paraId="3E5EEC4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宋体"/>
                      <w:b/>
                      <w:bCs/>
                      <w:caps w:val="0"/>
                      <w:spacing w:val="0"/>
                      <w:sz w:val="21"/>
                      <w:szCs w:val="21"/>
                      <w:highlight w:val="none"/>
                    </w:rPr>
                  </w:pPr>
                </w:p>
              </w:tc>
              <w:tc>
                <w:tcPr>
                  <w:tcW w:w="791" w:type="dxa"/>
                  <w:vMerge w:val="continue"/>
                  <w:tcBorders>
                    <w:top w:val="single" w:color="auto" w:sz="4" w:space="0"/>
                    <w:left w:val="single" w:color="auto" w:sz="4" w:space="0"/>
                    <w:bottom w:val="single" w:color="auto" w:sz="4" w:space="0"/>
                    <w:right w:val="single" w:color="auto" w:sz="4" w:space="0"/>
                  </w:tcBorders>
                  <w:noWrap w:val="0"/>
                  <w:vAlign w:val="center"/>
                </w:tcPr>
                <w:p w14:paraId="17FF90F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宋体"/>
                      <w:b/>
                      <w:bCs/>
                      <w:caps w:val="0"/>
                      <w:spacing w:val="0"/>
                      <w:sz w:val="21"/>
                      <w:szCs w:val="21"/>
                      <w:highlight w:val="none"/>
                    </w:rPr>
                  </w:pPr>
                </w:p>
              </w:tc>
              <w:tc>
                <w:tcPr>
                  <w:tcW w:w="1125" w:type="dxa"/>
                  <w:gridSpan w:val="2"/>
                  <w:tcBorders>
                    <w:top w:val="single" w:color="auto" w:sz="4" w:space="0"/>
                    <w:left w:val="single" w:color="auto" w:sz="4" w:space="0"/>
                    <w:bottom w:val="single" w:color="auto" w:sz="4" w:space="0"/>
                    <w:right w:val="single" w:color="auto" w:sz="4" w:space="0"/>
                  </w:tcBorders>
                  <w:noWrap w:val="0"/>
                  <w:vAlign w:val="center"/>
                </w:tcPr>
                <w:p w14:paraId="5D4E905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rPr>
                  </w:pPr>
                  <w:r>
                    <w:rPr>
                      <w:rFonts w:hint="eastAsia" w:ascii="Times New Roman" w:hAnsi="Times New Roman" w:eastAsia="宋体" w:cs="宋体"/>
                      <w:b/>
                      <w:bCs/>
                      <w:caps w:val="0"/>
                      <w:spacing w:val="0"/>
                      <w:sz w:val="21"/>
                      <w:szCs w:val="21"/>
                      <w:highlight w:val="none"/>
                    </w:rPr>
                    <w:t>排放</w:t>
                  </w:r>
                  <w:r>
                    <w:rPr>
                      <w:rFonts w:hint="eastAsia" w:ascii="Times New Roman" w:hAnsi="Times New Roman" w:eastAsia="宋体" w:cs="宋体"/>
                      <w:b/>
                      <w:bCs/>
                      <w:caps w:val="0"/>
                      <w:spacing w:val="0"/>
                      <w:sz w:val="21"/>
                      <w:szCs w:val="21"/>
                      <w:highlight w:val="none"/>
                      <w:lang w:val="en-US" w:eastAsia="zh-CN"/>
                    </w:rPr>
                    <w:t>量</w:t>
                  </w:r>
                  <w:r>
                    <w:rPr>
                      <w:rFonts w:hint="eastAsia" w:ascii="Times New Roman" w:hAnsi="Times New Roman" w:eastAsia="宋体" w:cs="宋体"/>
                      <w:b/>
                      <w:bCs/>
                      <w:caps w:val="0"/>
                      <w:spacing w:val="0"/>
                      <w:sz w:val="21"/>
                      <w:szCs w:val="21"/>
                      <w:highlight w:val="none"/>
                    </w:rPr>
                    <w:t>t/a</w:t>
                  </w:r>
                </w:p>
              </w:tc>
              <w:tc>
                <w:tcPr>
                  <w:tcW w:w="1061" w:type="dxa"/>
                  <w:tcBorders>
                    <w:top w:val="single" w:color="auto" w:sz="4" w:space="0"/>
                    <w:left w:val="single" w:color="auto" w:sz="4" w:space="0"/>
                    <w:bottom w:val="single" w:color="auto" w:sz="4" w:space="0"/>
                    <w:right w:val="single" w:color="auto" w:sz="4" w:space="0"/>
                  </w:tcBorders>
                  <w:noWrap w:val="0"/>
                  <w:vAlign w:val="center"/>
                </w:tcPr>
                <w:p w14:paraId="5E20AB5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lang w:eastAsia="zh-CN"/>
                    </w:rPr>
                  </w:pPr>
                  <w:r>
                    <w:rPr>
                      <w:rFonts w:hint="eastAsia" w:ascii="Times New Roman" w:hAnsi="Times New Roman" w:eastAsia="宋体" w:cs="宋体"/>
                      <w:b/>
                      <w:bCs/>
                      <w:caps w:val="0"/>
                      <w:spacing w:val="0"/>
                      <w:sz w:val="21"/>
                      <w:szCs w:val="21"/>
                      <w:highlight w:val="none"/>
                    </w:rPr>
                    <w:t>排放浓度mg/</w:t>
                  </w:r>
                  <w:r>
                    <w:rPr>
                      <w:rFonts w:hint="eastAsia" w:ascii="Times New Roman" w:hAnsi="Times New Roman" w:eastAsia="宋体" w:cs="宋体"/>
                      <w:b/>
                      <w:bCs/>
                      <w:caps w:val="0"/>
                      <w:spacing w:val="0"/>
                      <w:sz w:val="21"/>
                      <w:szCs w:val="21"/>
                      <w:highlight w:val="none"/>
                      <w:lang w:eastAsia="zh-CN"/>
                    </w:rPr>
                    <w:t>m</w:t>
                  </w:r>
                  <w:r>
                    <w:rPr>
                      <w:rFonts w:hint="eastAsia" w:ascii="Times New Roman" w:hAnsi="Times New Roman" w:eastAsia="宋体" w:cs="宋体"/>
                      <w:b/>
                      <w:bCs/>
                      <w:caps w:val="0"/>
                      <w:smallCaps w:val="0"/>
                      <w:strike w:val="0"/>
                      <w:dstrike w:val="0"/>
                      <w:vanish w:val="0"/>
                      <w:spacing w:val="0"/>
                      <w:sz w:val="21"/>
                      <w:szCs w:val="21"/>
                      <w:highlight w:val="none"/>
                      <w:vertAlign w:val="superscript"/>
                      <w:lang w:eastAsia="zh-CN"/>
                    </w:rPr>
                    <w:t>3</w:t>
                  </w:r>
                </w:p>
              </w:tc>
              <w:tc>
                <w:tcPr>
                  <w:tcW w:w="959" w:type="dxa"/>
                  <w:tcBorders>
                    <w:top w:val="single" w:color="auto" w:sz="4" w:space="0"/>
                    <w:left w:val="single" w:color="auto" w:sz="4" w:space="0"/>
                    <w:bottom w:val="single" w:color="auto" w:sz="4" w:space="0"/>
                    <w:right w:val="single" w:color="auto" w:sz="4" w:space="0"/>
                  </w:tcBorders>
                  <w:noWrap w:val="0"/>
                  <w:vAlign w:val="center"/>
                </w:tcPr>
                <w:p w14:paraId="79EE28B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rPr>
                  </w:pPr>
                  <w:r>
                    <w:rPr>
                      <w:rFonts w:hint="eastAsia" w:ascii="Times New Roman" w:hAnsi="Times New Roman" w:eastAsia="宋体" w:cs="宋体"/>
                      <w:b/>
                      <w:bCs/>
                      <w:caps w:val="0"/>
                      <w:spacing w:val="0"/>
                      <w:sz w:val="21"/>
                      <w:szCs w:val="21"/>
                      <w:highlight w:val="none"/>
                    </w:rPr>
                    <w:t>排放速率kg/h</w:t>
                  </w:r>
                </w:p>
              </w:tc>
              <w:tc>
                <w:tcPr>
                  <w:tcW w:w="1014" w:type="dxa"/>
                  <w:tcBorders>
                    <w:top w:val="single" w:color="auto" w:sz="4" w:space="0"/>
                    <w:left w:val="single" w:color="auto" w:sz="4" w:space="0"/>
                    <w:bottom w:val="single" w:color="auto" w:sz="4" w:space="0"/>
                    <w:right w:val="single" w:color="auto" w:sz="4" w:space="0"/>
                  </w:tcBorders>
                  <w:noWrap w:val="0"/>
                  <w:vAlign w:val="center"/>
                </w:tcPr>
                <w:p w14:paraId="4AFDF58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sz w:val="21"/>
                      <w:szCs w:val="21"/>
                      <w:highlight w:val="none"/>
                      <w:lang w:eastAsia="zh-CN"/>
                    </w:rPr>
                  </w:pPr>
                  <w:r>
                    <w:rPr>
                      <w:rFonts w:hint="eastAsia" w:ascii="Times New Roman" w:hAnsi="Times New Roman" w:eastAsia="宋体" w:cs="宋体"/>
                      <w:b/>
                      <w:bCs/>
                      <w:caps w:val="0"/>
                      <w:spacing w:val="0"/>
                      <w:sz w:val="21"/>
                      <w:szCs w:val="21"/>
                      <w:highlight w:val="none"/>
                    </w:rPr>
                    <w:t>排放浓度mg/</w:t>
                  </w:r>
                  <w:r>
                    <w:rPr>
                      <w:rFonts w:hint="eastAsia" w:ascii="Times New Roman" w:hAnsi="Times New Roman" w:eastAsia="宋体" w:cs="宋体"/>
                      <w:b/>
                      <w:bCs/>
                      <w:caps w:val="0"/>
                      <w:spacing w:val="0"/>
                      <w:sz w:val="21"/>
                      <w:szCs w:val="21"/>
                      <w:highlight w:val="none"/>
                      <w:lang w:eastAsia="zh-CN"/>
                    </w:rPr>
                    <w:t>m</w:t>
                  </w:r>
                  <w:r>
                    <w:rPr>
                      <w:rFonts w:hint="eastAsia" w:ascii="Times New Roman" w:hAnsi="Times New Roman" w:eastAsia="宋体" w:cs="宋体"/>
                      <w:b/>
                      <w:bCs/>
                      <w:caps w:val="0"/>
                      <w:smallCaps w:val="0"/>
                      <w:strike w:val="0"/>
                      <w:dstrike w:val="0"/>
                      <w:vanish w:val="0"/>
                      <w:spacing w:val="0"/>
                      <w:sz w:val="21"/>
                      <w:szCs w:val="21"/>
                      <w:highlight w:val="none"/>
                      <w:vertAlign w:val="superscript"/>
                      <w:lang w:eastAsia="zh-CN"/>
                    </w:rPr>
                    <w:t>3</w:t>
                  </w:r>
                </w:p>
              </w:tc>
              <w:tc>
                <w:tcPr>
                  <w:tcW w:w="731" w:type="dxa"/>
                  <w:vMerge w:val="continue"/>
                  <w:tcBorders>
                    <w:top w:val="single" w:color="auto" w:sz="4" w:space="0"/>
                    <w:left w:val="single" w:color="auto" w:sz="4" w:space="0"/>
                    <w:bottom w:val="single" w:color="auto" w:sz="4" w:space="0"/>
                    <w:right w:val="nil"/>
                  </w:tcBorders>
                  <w:noWrap w:val="0"/>
                  <w:vAlign w:val="center"/>
                </w:tcPr>
                <w:p w14:paraId="54E0A49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宋体"/>
                      <w:b/>
                      <w:bCs/>
                      <w:caps w:val="0"/>
                      <w:spacing w:val="0"/>
                      <w:sz w:val="21"/>
                      <w:szCs w:val="21"/>
                      <w:highlight w:val="none"/>
                    </w:rPr>
                  </w:pPr>
                </w:p>
              </w:tc>
            </w:tr>
            <w:tr w14:paraId="12F52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dxa"/>
                  <w:vMerge w:val="restart"/>
                  <w:tcBorders>
                    <w:top w:val="single" w:color="auto" w:sz="4" w:space="0"/>
                    <w:left w:val="nil"/>
                    <w:right w:val="single" w:color="auto" w:sz="4" w:space="0"/>
                  </w:tcBorders>
                  <w:noWrap w:val="0"/>
                  <w:vAlign w:val="center"/>
                </w:tcPr>
                <w:p w14:paraId="397A916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eastAsia="zh-CN"/>
                    </w:rPr>
                  </w:pPr>
                  <w:r>
                    <w:rPr>
                      <w:rFonts w:hint="eastAsia" w:ascii="Times New Roman" w:hAnsi="Times New Roman" w:eastAsia="宋体" w:cs="宋体"/>
                      <w:caps w:val="0"/>
                      <w:color w:val="auto"/>
                      <w:spacing w:val="0"/>
                      <w:sz w:val="21"/>
                      <w:szCs w:val="21"/>
                      <w:highlight w:val="none"/>
                      <w:lang w:eastAsia="zh-CN"/>
                    </w:rPr>
                    <w:t>DA</w:t>
                  </w:r>
                </w:p>
                <w:p w14:paraId="37AAE56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lang w:eastAsia="zh-CN"/>
                    </w:rPr>
                    <w:t>00</w:t>
                  </w:r>
                  <w:r>
                    <w:rPr>
                      <w:rFonts w:hint="eastAsia" w:ascii="Times New Roman" w:hAnsi="Times New Roman" w:eastAsia="宋体" w:cs="宋体"/>
                      <w:caps w:val="0"/>
                      <w:color w:val="auto"/>
                      <w:spacing w:val="0"/>
                      <w:sz w:val="21"/>
                      <w:szCs w:val="21"/>
                      <w:highlight w:val="none"/>
                      <w:lang w:val="en-US" w:eastAsia="zh-CN"/>
                    </w:rPr>
                    <w:t>3</w:t>
                  </w:r>
                </w:p>
              </w:tc>
              <w:tc>
                <w:tcPr>
                  <w:tcW w:w="1589" w:type="dxa"/>
                  <w:tcBorders>
                    <w:top w:val="single" w:color="auto" w:sz="4" w:space="0"/>
                    <w:left w:val="single" w:color="auto" w:sz="4" w:space="0"/>
                    <w:bottom w:val="single" w:color="auto" w:sz="4" w:space="0"/>
                    <w:right w:val="single" w:color="auto" w:sz="4" w:space="0"/>
                  </w:tcBorders>
                  <w:noWrap w:val="0"/>
                  <w:vAlign w:val="center"/>
                </w:tcPr>
                <w:p w14:paraId="72B9A00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颗粒物</w:t>
                  </w:r>
                </w:p>
              </w:tc>
              <w:tc>
                <w:tcPr>
                  <w:tcW w:w="791" w:type="dxa"/>
                  <w:vMerge w:val="restart"/>
                  <w:tcBorders>
                    <w:top w:val="single" w:color="auto" w:sz="4" w:space="0"/>
                    <w:left w:val="single" w:color="auto" w:sz="4" w:space="0"/>
                    <w:right w:val="single" w:color="auto" w:sz="4" w:space="0"/>
                  </w:tcBorders>
                  <w:noWrap w:val="0"/>
                  <w:vAlign w:val="center"/>
                </w:tcPr>
                <w:p w14:paraId="594939C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20</w:t>
                  </w:r>
                </w:p>
              </w:tc>
              <w:tc>
                <w:tcPr>
                  <w:tcW w:w="1125" w:type="dxa"/>
                  <w:gridSpan w:val="2"/>
                  <w:tcBorders>
                    <w:top w:val="single" w:color="auto" w:sz="4" w:space="0"/>
                    <w:left w:val="single" w:color="auto" w:sz="4" w:space="0"/>
                    <w:bottom w:val="single" w:color="auto" w:sz="4" w:space="0"/>
                    <w:right w:val="single" w:color="auto" w:sz="4" w:space="0"/>
                  </w:tcBorders>
                  <w:noWrap w:val="0"/>
                  <w:vAlign w:val="center"/>
                </w:tcPr>
                <w:p w14:paraId="77BAD4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0.0002165</w:t>
                  </w:r>
                </w:p>
              </w:tc>
              <w:tc>
                <w:tcPr>
                  <w:tcW w:w="1061" w:type="dxa"/>
                  <w:tcBorders>
                    <w:top w:val="single" w:color="auto" w:sz="4" w:space="0"/>
                    <w:left w:val="single" w:color="auto" w:sz="4" w:space="0"/>
                    <w:bottom w:val="single" w:color="auto" w:sz="4" w:space="0"/>
                    <w:right w:val="single" w:color="auto" w:sz="4" w:space="0"/>
                  </w:tcBorders>
                  <w:noWrap w:val="0"/>
                  <w:vAlign w:val="center"/>
                </w:tcPr>
                <w:p w14:paraId="0D1E57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0.08182</w:t>
                  </w:r>
                </w:p>
              </w:tc>
              <w:tc>
                <w:tcPr>
                  <w:tcW w:w="959" w:type="dxa"/>
                  <w:tcBorders>
                    <w:top w:val="single" w:color="auto" w:sz="4" w:space="0"/>
                    <w:left w:val="single" w:color="auto" w:sz="4" w:space="0"/>
                    <w:bottom w:val="single" w:color="auto" w:sz="4" w:space="0"/>
                    <w:right w:val="single" w:color="auto" w:sz="4" w:space="0"/>
                  </w:tcBorders>
                  <w:noWrap w:val="0"/>
                  <w:vAlign w:val="center"/>
                </w:tcPr>
                <w:p w14:paraId="22EAECC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w:t>
                  </w:r>
                </w:p>
              </w:tc>
              <w:tc>
                <w:tcPr>
                  <w:tcW w:w="1014" w:type="dxa"/>
                  <w:tcBorders>
                    <w:top w:val="single" w:color="auto" w:sz="4" w:space="0"/>
                    <w:left w:val="single" w:color="auto" w:sz="4" w:space="0"/>
                    <w:bottom w:val="single" w:color="auto" w:sz="4" w:space="0"/>
                    <w:right w:val="single" w:color="auto" w:sz="4" w:space="0"/>
                  </w:tcBorders>
                  <w:noWrap w:val="0"/>
                  <w:vAlign w:val="center"/>
                </w:tcPr>
                <w:p w14:paraId="3BD0D13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30</w:t>
                  </w:r>
                </w:p>
              </w:tc>
              <w:tc>
                <w:tcPr>
                  <w:tcW w:w="731" w:type="dxa"/>
                  <w:tcBorders>
                    <w:top w:val="single" w:color="auto" w:sz="4" w:space="0"/>
                    <w:left w:val="single" w:color="auto" w:sz="4" w:space="0"/>
                    <w:bottom w:val="single" w:color="auto" w:sz="4" w:space="0"/>
                    <w:right w:val="nil"/>
                  </w:tcBorders>
                  <w:noWrap w:val="0"/>
                  <w:vAlign w:val="center"/>
                </w:tcPr>
                <w:p w14:paraId="4BFD8F6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rPr>
                    <w:t>是</w:t>
                  </w:r>
                </w:p>
              </w:tc>
            </w:tr>
            <w:tr w14:paraId="5DBFD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dxa"/>
                  <w:vMerge w:val="continue"/>
                  <w:tcBorders>
                    <w:left w:val="nil"/>
                    <w:right w:val="single" w:color="auto" w:sz="4" w:space="0"/>
                  </w:tcBorders>
                  <w:noWrap w:val="0"/>
                  <w:vAlign w:val="center"/>
                </w:tcPr>
                <w:p w14:paraId="67DBD77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eastAsia="zh-CN"/>
                    </w:rPr>
                  </w:pPr>
                </w:p>
              </w:tc>
              <w:tc>
                <w:tcPr>
                  <w:tcW w:w="1589" w:type="dxa"/>
                  <w:tcBorders>
                    <w:top w:val="single" w:color="auto" w:sz="4" w:space="0"/>
                    <w:left w:val="single" w:color="auto" w:sz="4" w:space="0"/>
                    <w:bottom w:val="single" w:color="auto" w:sz="4" w:space="0"/>
                    <w:right w:val="single" w:color="auto" w:sz="4" w:space="0"/>
                  </w:tcBorders>
                  <w:noWrap w:val="0"/>
                  <w:vAlign w:val="center"/>
                </w:tcPr>
                <w:p w14:paraId="105398F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二氧化硫</w:t>
                  </w:r>
                </w:p>
              </w:tc>
              <w:tc>
                <w:tcPr>
                  <w:tcW w:w="791" w:type="dxa"/>
                  <w:vMerge w:val="continue"/>
                  <w:tcBorders>
                    <w:left w:val="single" w:color="auto" w:sz="4" w:space="0"/>
                    <w:right w:val="single" w:color="auto" w:sz="4" w:space="0"/>
                  </w:tcBorders>
                  <w:noWrap w:val="0"/>
                  <w:vAlign w:val="center"/>
                </w:tcPr>
                <w:p w14:paraId="643B202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p>
              </w:tc>
              <w:tc>
                <w:tcPr>
                  <w:tcW w:w="1125" w:type="dxa"/>
                  <w:gridSpan w:val="2"/>
                  <w:tcBorders>
                    <w:top w:val="single" w:color="auto" w:sz="4" w:space="0"/>
                    <w:left w:val="single" w:color="auto" w:sz="4" w:space="0"/>
                    <w:bottom w:val="single" w:color="auto" w:sz="4" w:space="0"/>
                    <w:right w:val="single" w:color="auto" w:sz="4" w:space="0"/>
                  </w:tcBorders>
                  <w:noWrap w:val="0"/>
                  <w:vAlign w:val="center"/>
                </w:tcPr>
                <w:p w14:paraId="1B97FD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i w:val="0"/>
                      <w:caps w:val="0"/>
                      <w:color w:val="000000"/>
                      <w:spacing w:val="0"/>
                      <w:kern w:val="2"/>
                      <w:sz w:val="21"/>
                      <w:szCs w:val="21"/>
                      <w:highlight w:val="none"/>
                      <w:u w:val="none"/>
                      <w:lang w:val="en-US" w:eastAsia="zh-CN" w:bidi="ar-SA"/>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003955</w:t>
                  </w:r>
                </w:p>
              </w:tc>
              <w:tc>
                <w:tcPr>
                  <w:tcW w:w="1061" w:type="dxa"/>
                  <w:tcBorders>
                    <w:top w:val="single" w:color="auto" w:sz="4" w:space="0"/>
                    <w:left w:val="single" w:color="auto" w:sz="4" w:space="0"/>
                    <w:bottom w:val="single" w:color="auto" w:sz="4" w:space="0"/>
                    <w:right w:val="single" w:color="auto" w:sz="4" w:space="0"/>
                  </w:tcBorders>
                  <w:noWrap w:val="0"/>
                  <w:vAlign w:val="center"/>
                </w:tcPr>
                <w:p w14:paraId="56CB11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1</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497</w:t>
                  </w:r>
                </w:p>
              </w:tc>
              <w:tc>
                <w:tcPr>
                  <w:tcW w:w="959" w:type="dxa"/>
                  <w:tcBorders>
                    <w:top w:val="single" w:color="auto" w:sz="4" w:space="0"/>
                    <w:left w:val="single" w:color="auto" w:sz="4" w:space="0"/>
                    <w:bottom w:val="single" w:color="auto" w:sz="4" w:space="0"/>
                    <w:right w:val="single" w:color="auto" w:sz="4" w:space="0"/>
                  </w:tcBorders>
                  <w:noWrap w:val="0"/>
                  <w:vAlign w:val="center"/>
                </w:tcPr>
                <w:p w14:paraId="49522EB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w:t>
                  </w:r>
                </w:p>
              </w:tc>
              <w:tc>
                <w:tcPr>
                  <w:tcW w:w="1014" w:type="dxa"/>
                  <w:tcBorders>
                    <w:top w:val="single" w:color="auto" w:sz="4" w:space="0"/>
                    <w:left w:val="single" w:color="auto" w:sz="4" w:space="0"/>
                    <w:bottom w:val="single" w:color="auto" w:sz="4" w:space="0"/>
                    <w:right w:val="single" w:color="auto" w:sz="4" w:space="0"/>
                  </w:tcBorders>
                  <w:noWrap w:val="0"/>
                  <w:vAlign w:val="center"/>
                </w:tcPr>
                <w:p w14:paraId="01E3FDD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200</w:t>
                  </w:r>
                </w:p>
              </w:tc>
              <w:tc>
                <w:tcPr>
                  <w:tcW w:w="731" w:type="dxa"/>
                  <w:tcBorders>
                    <w:top w:val="single" w:color="auto" w:sz="4" w:space="0"/>
                    <w:left w:val="single" w:color="auto" w:sz="4" w:space="0"/>
                    <w:bottom w:val="single" w:color="auto" w:sz="4" w:space="0"/>
                    <w:right w:val="nil"/>
                  </w:tcBorders>
                  <w:noWrap w:val="0"/>
                  <w:vAlign w:val="center"/>
                </w:tcPr>
                <w:p w14:paraId="1619D71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rPr>
                    <w:t>是</w:t>
                  </w:r>
                </w:p>
              </w:tc>
            </w:tr>
            <w:tr w14:paraId="454FD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dxa"/>
                  <w:vMerge w:val="continue"/>
                  <w:tcBorders>
                    <w:left w:val="nil"/>
                    <w:right w:val="single" w:color="auto" w:sz="4" w:space="0"/>
                  </w:tcBorders>
                  <w:noWrap w:val="0"/>
                  <w:vAlign w:val="center"/>
                </w:tcPr>
                <w:p w14:paraId="5F31661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lang w:val="en-US" w:eastAsia="zh-CN"/>
                    </w:rPr>
                  </w:pPr>
                </w:p>
              </w:tc>
              <w:tc>
                <w:tcPr>
                  <w:tcW w:w="1589" w:type="dxa"/>
                  <w:tcBorders>
                    <w:top w:val="single" w:color="auto" w:sz="4" w:space="0"/>
                    <w:left w:val="single" w:color="auto" w:sz="4" w:space="0"/>
                    <w:bottom w:val="single" w:color="auto" w:sz="4" w:space="0"/>
                    <w:right w:val="single" w:color="auto" w:sz="4" w:space="0"/>
                  </w:tcBorders>
                  <w:noWrap w:val="0"/>
                  <w:vAlign w:val="center"/>
                </w:tcPr>
                <w:p w14:paraId="12AEAD5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氮氧化物</w:t>
                  </w:r>
                </w:p>
              </w:tc>
              <w:tc>
                <w:tcPr>
                  <w:tcW w:w="791" w:type="dxa"/>
                  <w:vMerge w:val="continue"/>
                  <w:tcBorders>
                    <w:left w:val="single" w:color="auto" w:sz="4" w:space="0"/>
                    <w:right w:val="single" w:color="auto" w:sz="4" w:space="0"/>
                  </w:tcBorders>
                  <w:noWrap w:val="0"/>
                  <w:vAlign w:val="center"/>
                </w:tcPr>
                <w:p w14:paraId="73BD96D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p>
              </w:tc>
              <w:tc>
                <w:tcPr>
                  <w:tcW w:w="1125" w:type="dxa"/>
                  <w:gridSpan w:val="2"/>
                  <w:tcBorders>
                    <w:top w:val="single" w:color="auto" w:sz="4" w:space="0"/>
                    <w:left w:val="single" w:color="auto" w:sz="4" w:space="0"/>
                    <w:bottom w:val="single" w:color="auto" w:sz="4" w:space="0"/>
                    <w:right w:val="single" w:color="auto" w:sz="4" w:space="0"/>
                  </w:tcBorders>
                  <w:noWrap w:val="0"/>
                  <w:vAlign w:val="center"/>
                </w:tcPr>
                <w:p w14:paraId="4FAE7E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i w:val="0"/>
                      <w:caps w:val="0"/>
                      <w:color w:val="000000"/>
                      <w:spacing w:val="0"/>
                      <w:kern w:val="0"/>
                      <w:sz w:val="21"/>
                      <w:szCs w:val="21"/>
                      <w:highlight w:val="none"/>
                      <w:u w:val="none"/>
                      <w:lang w:val="en-US" w:eastAsia="zh-CN" w:bidi="ar"/>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529</w:t>
                  </w:r>
                </w:p>
              </w:tc>
              <w:tc>
                <w:tcPr>
                  <w:tcW w:w="1061" w:type="dxa"/>
                  <w:tcBorders>
                    <w:top w:val="single" w:color="auto" w:sz="4" w:space="0"/>
                    <w:left w:val="single" w:color="auto" w:sz="4" w:space="0"/>
                    <w:bottom w:val="single" w:color="auto" w:sz="4" w:space="0"/>
                    <w:right w:val="single" w:color="auto" w:sz="4" w:space="0"/>
                  </w:tcBorders>
                  <w:noWrap w:val="0"/>
                  <w:vAlign w:val="center"/>
                </w:tcPr>
                <w:p w14:paraId="553F08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200</w:t>
                  </w:r>
                </w:p>
              </w:tc>
              <w:tc>
                <w:tcPr>
                  <w:tcW w:w="959" w:type="dxa"/>
                  <w:tcBorders>
                    <w:top w:val="single" w:color="auto" w:sz="4" w:space="0"/>
                    <w:left w:val="single" w:color="auto" w:sz="4" w:space="0"/>
                    <w:bottom w:val="single" w:color="auto" w:sz="4" w:space="0"/>
                    <w:right w:val="single" w:color="auto" w:sz="4" w:space="0"/>
                  </w:tcBorders>
                  <w:noWrap w:val="0"/>
                  <w:vAlign w:val="center"/>
                </w:tcPr>
                <w:p w14:paraId="0ECCBCE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w:t>
                  </w:r>
                </w:p>
              </w:tc>
              <w:tc>
                <w:tcPr>
                  <w:tcW w:w="1014" w:type="dxa"/>
                  <w:tcBorders>
                    <w:top w:val="single" w:color="auto" w:sz="4" w:space="0"/>
                    <w:left w:val="single" w:color="auto" w:sz="4" w:space="0"/>
                    <w:bottom w:val="single" w:color="auto" w:sz="4" w:space="0"/>
                    <w:right w:val="single" w:color="auto" w:sz="4" w:space="0"/>
                  </w:tcBorders>
                  <w:noWrap w:val="0"/>
                  <w:vAlign w:val="center"/>
                </w:tcPr>
                <w:p w14:paraId="45E61F1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cs="宋体"/>
                      <w:caps w:val="0"/>
                      <w:color w:val="auto"/>
                      <w:spacing w:val="0"/>
                      <w:sz w:val="21"/>
                      <w:szCs w:val="21"/>
                      <w:highlight w:val="none"/>
                      <w:lang w:val="en-US" w:eastAsia="zh-CN"/>
                    </w:rPr>
                    <w:t>250</w:t>
                  </w:r>
                </w:p>
              </w:tc>
              <w:tc>
                <w:tcPr>
                  <w:tcW w:w="731" w:type="dxa"/>
                  <w:tcBorders>
                    <w:top w:val="single" w:color="auto" w:sz="4" w:space="0"/>
                    <w:left w:val="single" w:color="auto" w:sz="4" w:space="0"/>
                    <w:bottom w:val="single" w:color="auto" w:sz="4" w:space="0"/>
                    <w:right w:val="nil"/>
                  </w:tcBorders>
                  <w:noWrap w:val="0"/>
                  <w:vAlign w:val="center"/>
                </w:tcPr>
                <w:p w14:paraId="72892EC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rPr>
                    <w:t>是</w:t>
                  </w:r>
                </w:p>
              </w:tc>
            </w:tr>
            <w:tr w14:paraId="14501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dxa"/>
                  <w:vMerge w:val="continue"/>
                  <w:tcBorders>
                    <w:left w:val="nil"/>
                    <w:right w:val="single" w:color="auto" w:sz="4" w:space="0"/>
                  </w:tcBorders>
                  <w:noWrap w:val="0"/>
                  <w:vAlign w:val="center"/>
                </w:tcPr>
                <w:p w14:paraId="3B19A16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lang w:val="en-US" w:eastAsia="zh-CN"/>
                    </w:rPr>
                  </w:pPr>
                </w:p>
              </w:tc>
              <w:tc>
                <w:tcPr>
                  <w:tcW w:w="1589" w:type="dxa"/>
                  <w:tcBorders>
                    <w:top w:val="single" w:color="auto" w:sz="4" w:space="0"/>
                    <w:left w:val="single" w:color="auto" w:sz="4" w:space="0"/>
                    <w:bottom w:val="single" w:color="auto" w:sz="4" w:space="0"/>
                    <w:right w:val="single" w:color="auto" w:sz="4" w:space="0"/>
                  </w:tcBorders>
                  <w:noWrap w:val="0"/>
                  <w:vAlign w:val="center"/>
                </w:tcPr>
                <w:p w14:paraId="5F3CA61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烟气黑度</w:t>
                  </w:r>
                </w:p>
              </w:tc>
              <w:tc>
                <w:tcPr>
                  <w:tcW w:w="791" w:type="dxa"/>
                  <w:vMerge w:val="continue"/>
                  <w:tcBorders>
                    <w:left w:val="single" w:color="auto" w:sz="4" w:space="0"/>
                    <w:right w:val="single" w:color="auto" w:sz="4" w:space="0"/>
                  </w:tcBorders>
                  <w:noWrap w:val="0"/>
                  <w:vAlign w:val="center"/>
                </w:tcPr>
                <w:p w14:paraId="378352B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p>
              </w:tc>
              <w:tc>
                <w:tcPr>
                  <w:tcW w:w="2186" w:type="dxa"/>
                  <w:gridSpan w:val="3"/>
                  <w:tcBorders>
                    <w:top w:val="single" w:color="auto" w:sz="4" w:space="0"/>
                    <w:left w:val="single" w:color="auto" w:sz="4" w:space="0"/>
                    <w:bottom w:val="single" w:color="auto" w:sz="4" w:space="0"/>
                    <w:right w:val="single" w:color="auto" w:sz="4" w:space="0"/>
                  </w:tcBorders>
                  <w:noWrap w:val="0"/>
                  <w:vAlign w:val="center"/>
                </w:tcPr>
                <w:p w14:paraId="4EE2FF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1</w:t>
                  </w:r>
                  <w:r>
                    <w:rPr>
                      <w:rFonts w:hint="eastAsia" w:ascii="Times New Roman" w:hAnsi="Times New Roman" w:eastAsia="宋体" w:cs="宋体"/>
                      <w:caps w:val="0"/>
                      <w:color w:val="auto"/>
                      <w:spacing w:val="0"/>
                      <w:sz w:val="21"/>
                      <w:szCs w:val="21"/>
                      <w:highlight w:val="none"/>
                      <w:lang w:val="en-US" w:eastAsia="zh-CN"/>
                    </w:rPr>
                    <w:t>（林格曼等级）</w:t>
                  </w:r>
                </w:p>
              </w:tc>
              <w:tc>
                <w:tcPr>
                  <w:tcW w:w="1973" w:type="dxa"/>
                  <w:gridSpan w:val="2"/>
                  <w:tcBorders>
                    <w:top w:val="single" w:color="auto" w:sz="4" w:space="0"/>
                    <w:left w:val="single" w:color="auto" w:sz="4" w:space="0"/>
                    <w:bottom w:val="single" w:color="auto" w:sz="4" w:space="0"/>
                    <w:right w:val="single" w:color="auto" w:sz="4" w:space="0"/>
                  </w:tcBorders>
                  <w:noWrap w:val="0"/>
                  <w:vAlign w:val="center"/>
                </w:tcPr>
                <w:p w14:paraId="75685C7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bCs w:val="0"/>
                      <w:caps w:val="0"/>
                      <w:color w:val="auto"/>
                      <w:spacing w:val="0"/>
                      <w:kern w:val="2"/>
                      <w:sz w:val="21"/>
                      <w:szCs w:val="21"/>
                      <w:highlight w:val="none"/>
                      <w:lang w:val="en-US" w:eastAsia="zh-CN" w:bidi="ar-SA"/>
                    </w:rPr>
                    <w:t>≤</w:t>
                  </w:r>
                  <w:r>
                    <w:rPr>
                      <w:rFonts w:hint="default" w:ascii="Times New Roman" w:hAnsi="Times New Roman" w:eastAsia="宋体" w:cs="宋体"/>
                      <w:caps w:val="0"/>
                      <w:color w:val="auto"/>
                      <w:spacing w:val="0"/>
                      <w:sz w:val="21"/>
                      <w:szCs w:val="21"/>
                      <w:highlight w:val="none"/>
                      <w:lang w:val="en-US" w:eastAsia="zh-CN"/>
                    </w:rPr>
                    <w:t>1</w:t>
                  </w:r>
                  <w:r>
                    <w:rPr>
                      <w:rFonts w:hint="eastAsia" w:ascii="Times New Roman" w:hAnsi="Times New Roman" w:eastAsia="宋体" w:cs="宋体"/>
                      <w:caps w:val="0"/>
                      <w:color w:val="auto"/>
                      <w:spacing w:val="0"/>
                      <w:sz w:val="21"/>
                      <w:szCs w:val="21"/>
                      <w:highlight w:val="none"/>
                      <w:lang w:val="en-US" w:eastAsia="zh-CN"/>
                    </w:rPr>
                    <w:t>（林格曼等级）</w:t>
                  </w:r>
                </w:p>
              </w:tc>
              <w:tc>
                <w:tcPr>
                  <w:tcW w:w="731" w:type="dxa"/>
                  <w:tcBorders>
                    <w:top w:val="single" w:color="auto" w:sz="4" w:space="0"/>
                    <w:left w:val="single" w:color="auto" w:sz="4" w:space="0"/>
                    <w:bottom w:val="single" w:color="auto" w:sz="4" w:space="0"/>
                    <w:right w:val="nil"/>
                  </w:tcBorders>
                  <w:noWrap w:val="0"/>
                  <w:vAlign w:val="center"/>
                </w:tcPr>
                <w:p w14:paraId="79F5DE8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是</w:t>
                  </w:r>
                </w:p>
              </w:tc>
            </w:tr>
            <w:tr w14:paraId="51543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dxa"/>
                  <w:vMerge w:val="restart"/>
                  <w:tcBorders>
                    <w:left w:val="nil"/>
                    <w:right w:val="single" w:color="auto" w:sz="4" w:space="0"/>
                  </w:tcBorders>
                  <w:noWrap w:val="0"/>
                  <w:vAlign w:val="center"/>
                </w:tcPr>
                <w:p w14:paraId="1D79217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lang w:val="en-US" w:eastAsia="zh-CN"/>
                    </w:rPr>
                  </w:pPr>
                  <w:r>
                    <w:rPr>
                      <w:rFonts w:hint="eastAsia" w:ascii="Times New Roman" w:hAnsi="Times New Roman" w:eastAsia="宋体" w:cs="宋体"/>
                      <w:caps w:val="0"/>
                      <w:color w:val="000000"/>
                      <w:spacing w:val="0"/>
                      <w:sz w:val="21"/>
                      <w:szCs w:val="21"/>
                      <w:highlight w:val="none"/>
                      <w:lang w:val="en-US" w:eastAsia="zh-CN"/>
                    </w:rPr>
                    <w:t>DA</w:t>
                  </w:r>
                </w:p>
                <w:p w14:paraId="0C55B5C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lang w:val="en-US" w:eastAsia="zh-CN"/>
                    </w:rPr>
                  </w:pPr>
                  <w:r>
                    <w:rPr>
                      <w:rFonts w:hint="eastAsia" w:ascii="Times New Roman" w:hAnsi="Times New Roman" w:eastAsia="宋体" w:cs="宋体"/>
                      <w:caps w:val="0"/>
                      <w:color w:val="000000"/>
                      <w:spacing w:val="0"/>
                      <w:sz w:val="21"/>
                      <w:szCs w:val="21"/>
                      <w:highlight w:val="none"/>
                      <w:lang w:val="en-US" w:eastAsia="zh-CN"/>
                    </w:rPr>
                    <w:t>004</w:t>
                  </w:r>
                </w:p>
              </w:tc>
              <w:tc>
                <w:tcPr>
                  <w:tcW w:w="1589" w:type="dxa"/>
                  <w:tcBorders>
                    <w:top w:val="single" w:color="auto" w:sz="4" w:space="0"/>
                    <w:left w:val="single" w:color="auto" w:sz="4" w:space="0"/>
                    <w:bottom w:val="single" w:color="auto" w:sz="4" w:space="0"/>
                    <w:right w:val="single" w:color="auto" w:sz="4" w:space="0"/>
                  </w:tcBorders>
                  <w:noWrap w:val="0"/>
                  <w:vAlign w:val="center"/>
                </w:tcPr>
                <w:p w14:paraId="2B2220D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颗粒物</w:t>
                  </w:r>
                </w:p>
              </w:tc>
              <w:tc>
                <w:tcPr>
                  <w:tcW w:w="791" w:type="dxa"/>
                  <w:vMerge w:val="restart"/>
                  <w:tcBorders>
                    <w:left w:val="single" w:color="auto" w:sz="4" w:space="0"/>
                    <w:right w:val="single" w:color="auto" w:sz="4" w:space="0"/>
                  </w:tcBorders>
                  <w:noWrap w:val="0"/>
                  <w:vAlign w:val="center"/>
                </w:tcPr>
                <w:p w14:paraId="0042B75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20</w:t>
                  </w:r>
                </w:p>
              </w:tc>
              <w:tc>
                <w:tcPr>
                  <w:tcW w:w="1092" w:type="dxa"/>
                  <w:tcBorders>
                    <w:top w:val="single" w:color="auto" w:sz="4" w:space="0"/>
                    <w:left w:val="single" w:color="auto" w:sz="4" w:space="0"/>
                    <w:bottom w:val="single" w:color="auto" w:sz="4" w:space="0"/>
                    <w:right w:val="single" w:color="auto" w:sz="4" w:space="0"/>
                  </w:tcBorders>
                  <w:noWrap w:val="0"/>
                  <w:vAlign w:val="center"/>
                </w:tcPr>
                <w:p w14:paraId="6B0FF1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0.0002165</w:t>
                  </w:r>
                </w:p>
              </w:tc>
              <w:tc>
                <w:tcPr>
                  <w:tcW w:w="1094" w:type="dxa"/>
                  <w:gridSpan w:val="2"/>
                  <w:tcBorders>
                    <w:top w:val="single" w:color="auto" w:sz="4" w:space="0"/>
                    <w:left w:val="single" w:color="auto" w:sz="4" w:space="0"/>
                    <w:bottom w:val="single" w:color="auto" w:sz="4" w:space="0"/>
                    <w:right w:val="single" w:color="auto" w:sz="4" w:space="0"/>
                  </w:tcBorders>
                  <w:noWrap w:val="0"/>
                  <w:vAlign w:val="center"/>
                </w:tcPr>
                <w:p w14:paraId="36FAA0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0.08182</w:t>
                  </w:r>
                </w:p>
              </w:tc>
              <w:tc>
                <w:tcPr>
                  <w:tcW w:w="959" w:type="dxa"/>
                  <w:tcBorders>
                    <w:top w:val="single" w:color="auto" w:sz="4" w:space="0"/>
                    <w:left w:val="single" w:color="auto" w:sz="4" w:space="0"/>
                    <w:bottom w:val="single" w:color="auto" w:sz="4" w:space="0"/>
                    <w:right w:val="single" w:color="auto" w:sz="4" w:space="0"/>
                  </w:tcBorders>
                  <w:noWrap w:val="0"/>
                  <w:vAlign w:val="center"/>
                </w:tcPr>
                <w:p w14:paraId="2116FED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w:t>
                  </w:r>
                </w:p>
              </w:tc>
              <w:tc>
                <w:tcPr>
                  <w:tcW w:w="1014" w:type="dxa"/>
                  <w:tcBorders>
                    <w:top w:val="single" w:color="auto" w:sz="4" w:space="0"/>
                    <w:left w:val="single" w:color="auto" w:sz="4" w:space="0"/>
                    <w:bottom w:val="single" w:color="auto" w:sz="4" w:space="0"/>
                    <w:right w:val="single" w:color="auto" w:sz="4" w:space="0"/>
                  </w:tcBorders>
                  <w:noWrap w:val="0"/>
                  <w:vAlign w:val="center"/>
                </w:tcPr>
                <w:p w14:paraId="7D3C002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30</w:t>
                  </w:r>
                </w:p>
              </w:tc>
              <w:tc>
                <w:tcPr>
                  <w:tcW w:w="731" w:type="dxa"/>
                  <w:tcBorders>
                    <w:top w:val="single" w:color="auto" w:sz="4" w:space="0"/>
                    <w:left w:val="single" w:color="auto" w:sz="4" w:space="0"/>
                    <w:bottom w:val="single" w:color="auto" w:sz="4" w:space="0"/>
                    <w:right w:val="nil"/>
                  </w:tcBorders>
                  <w:noWrap w:val="0"/>
                  <w:vAlign w:val="center"/>
                </w:tcPr>
                <w:p w14:paraId="65488C9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rPr>
                    <w:t>是</w:t>
                  </w:r>
                </w:p>
              </w:tc>
            </w:tr>
            <w:tr w14:paraId="08E12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dxa"/>
                  <w:vMerge w:val="continue"/>
                  <w:tcBorders>
                    <w:left w:val="nil"/>
                    <w:right w:val="single" w:color="auto" w:sz="4" w:space="0"/>
                  </w:tcBorders>
                  <w:noWrap w:val="0"/>
                  <w:vAlign w:val="center"/>
                </w:tcPr>
                <w:p w14:paraId="51D46D6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lang w:val="en-US" w:eastAsia="zh-CN"/>
                    </w:rPr>
                  </w:pPr>
                </w:p>
              </w:tc>
              <w:tc>
                <w:tcPr>
                  <w:tcW w:w="1589" w:type="dxa"/>
                  <w:tcBorders>
                    <w:top w:val="single" w:color="auto" w:sz="4" w:space="0"/>
                    <w:left w:val="single" w:color="auto" w:sz="4" w:space="0"/>
                    <w:bottom w:val="single" w:color="auto" w:sz="4" w:space="0"/>
                    <w:right w:val="single" w:color="auto" w:sz="4" w:space="0"/>
                  </w:tcBorders>
                  <w:noWrap w:val="0"/>
                  <w:vAlign w:val="center"/>
                </w:tcPr>
                <w:p w14:paraId="52DE131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二氧化硫</w:t>
                  </w:r>
                </w:p>
              </w:tc>
              <w:tc>
                <w:tcPr>
                  <w:tcW w:w="791" w:type="dxa"/>
                  <w:vMerge w:val="continue"/>
                  <w:tcBorders>
                    <w:left w:val="single" w:color="auto" w:sz="4" w:space="0"/>
                    <w:right w:val="single" w:color="auto" w:sz="4" w:space="0"/>
                  </w:tcBorders>
                  <w:noWrap w:val="0"/>
                  <w:vAlign w:val="center"/>
                </w:tcPr>
                <w:p w14:paraId="6C2C25C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p>
              </w:tc>
              <w:tc>
                <w:tcPr>
                  <w:tcW w:w="1092" w:type="dxa"/>
                  <w:tcBorders>
                    <w:top w:val="single" w:color="auto" w:sz="4" w:space="0"/>
                    <w:left w:val="single" w:color="auto" w:sz="4" w:space="0"/>
                    <w:bottom w:val="single" w:color="auto" w:sz="4" w:space="0"/>
                    <w:right w:val="single" w:color="auto" w:sz="4" w:space="0"/>
                  </w:tcBorders>
                  <w:noWrap w:val="0"/>
                  <w:vAlign w:val="center"/>
                </w:tcPr>
                <w:p w14:paraId="25E01F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003955</w:t>
                  </w:r>
                </w:p>
              </w:tc>
              <w:tc>
                <w:tcPr>
                  <w:tcW w:w="1094" w:type="dxa"/>
                  <w:gridSpan w:val="2"/>
                  <w:tcBorders>
                    <w:top w:val="single" w:color="auto" w:sz="4" w:space="0"/>
                    <w:left w:val="single" w:color="auto" w:sz="4" w:space="0"/>
                    <w:bottom w:val="single" w:color="auto" w:sz="4" w:space="0"/>
                    <w:right w:val="single" w:color="auto" w:sz="4" w:space="0"/>
                  </w:tcBorders>
                  <w:noWrap w:val="0"/>
                  <w:vAlign w:val="center"/>
                </w:tcPr>
                <w:p w14:paraId="556E9B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1</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497</w:t>
                  </w:r>
                </w:p>
              </w:tc>
              <w:tc>
                <w:tcPr>
                  <w:tcW w:w="959" w:type="dxa"/>
                  <w:tcBorders>
                    <w:top w:val="single" w:color="auto" w:sz="4" w:space="0"/>
                    <w:left w:val="single" w:color="auto" w:sz="4" w:space="0"/>
                    <w:bottom w:val="single" w:color="auto" w:sz="4" w:space="0"/>
                    <w:right w:val="single" w:color="auto" w:sz="4" w:space="0"/>
                  </w:tcBorders>
                  <w:noWrap w:val="0"/>
                  <w:vAlign w:val="center"/>
                </w:tcPr>
                <w:p w14:paraId="536A4BD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w:t>
                  </w:r>
                </w:p>
              </w:tc>
              <w:tc>
                <w:tcPr>
                  <w:tcW w:w="1014" w:type="dxa"/>
                  <w:tcBorders>
                    <w:top w:val="single" w:color="auto" w:sz="4" w:space="0"/>
                    <w:left w:val="single" w:color="auto" w:sz="4" w:space="0"/>
                    <w:bottom w:val="single" w:color="auto" w:sz="4" w:space="0"/>
                    <w:right w:val="single" w:color="auto" w:sz="4" w:space="0"/>
                  </w:tcBorders>
                  <w:noWrap w:val="0"/>
                  <w:vAlign w:val="center"/>
                </w:tcPr>
                <w:p w14:paraId="56C26DA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cs="宋体"/>
                      <w:caps w:val="0"/>
                      <w:color w:val="auto"/>
                      <w:spacing w:val="0"/>
                      <w:sz w:val="21"/>
                      <w:szCs w:val="21"/>
                      <w:highlight w:val="none"/>
                      <w:lang w:val="en-US" w:eastAsia="zh-CN"/>
                    </w:rPr>
                    <w:t>200</w:t>
                  </w:r>
                </w:p>
              </w:tc>
              <w:tc>
                <w:tcPr>
                  <w:tcW w:w="731" w:type="dxa"/>
                  <w:tcBorders>
                    <w:top w:val="single" w:color="auto" w:sz="4" w:space="0"/>
                    <w:left w:val="single" w:color="auto" w:sz="4" w:space="0"/>
                    <w:bottom w:val="single" w:color="auto" w:sz="4" w:space="0"/>
                    <w:right w:val="nil"/>
                  </w:tcBorders>
                  <w:noWrap w:val="0"/>
                  <w:vAlign w:val="center"/>
                </w:tcPr>
                <w:p w14:paraId="2893391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rPr>
                    <w:t>是</w:t>
                  </w:r>
                </w:p>
              </w:tc>
            </w:tr>
            <w:tr w14:paraId="01EFF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dxa"/>
                  <w:vMerge w:val="continue"/>
                  <w:tcBorders>
                    <w:left w:val="nil"/>
                    <w:right w:val="single" w:color="auto" w:sz="4" w:space="0"/>
                  </w:tcBorders>
                  <w:noWrap w:val="0"/>
                  <w:vAlign w:val="center"/>
                </w:tcPr>
                <w:p w14:paraId="07F35AA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lang w:val="en-US" w:eastAsia="zh-CN"/>
                    </w:rPr>
                  </w:pPr>
                </w:p>
              </w:tc>
              <w:tc>
                <w:tcPr>
                  <w:tcW w:w="1589" w:type="dxa"/>
                  <w:tcBorders>
                    <w:top w:val="single" w:color="auto" w:sz="4" w:space="0"/>
                    <w:left w:val="single" w:color="auto" w:sz="4" w:space="0"/>
                    <w:bottom w:val="single" w:color="auto" w:sz="4" w:space="0"/>
                    <w:right w:val="single" w:color="auto" w:sz="4" w:space="0"/>
                  </w:tcBorders>
                  <w:noWrap w:val="0"/>
                  <w:vAlign w:val="center"/>
                </w:tcPr>
                <w:p w14:paraId="1DA076F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氮氧化物</w:t>
                  </w:r>
                </w:p>
              </w:tc>
              <w:tc>
                <w:tcPr>
                  <w:tcW w:w="791" w:type="dxa"/>
                  <w:vMerge w:val="continue"/>
                  <w:tcBorders>
                    <w:left w:val="single" w:color="auto" w:sz="4" w:space="0"/>
                    <w:right w:val="single" w:color="auto" w:sz="4" w:space="0"/>
                  </w:tcBorders>
                  <w:noWrap w:val="0"/>
                  <w:vAlign w:val="center"/>
                </w:tcPr>
                <w:p w14:paraId="7C8F665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p>
              </w:tc>
              <w:tc>
                <w:tcPr>
                  <w:tcW w:w="1092" w:type="dxa"/>
                  <w:tcBorders>
                    <w:top w:val="single" w:color="auto" w:sz="4" w:space="0"/>
                    <w:left w:val="single" w:color="auto" w:sz="4" w:space="0"/>
                    <w:bottom w:val="single" w:color="auto" w:sz="4" w:space="0"/>
                    <w:right w:val="single" w:color="auto" w:sz="4" w:space="0"/>
                  </w:tcBorders>
                  <w:noWrap w:val="0"/>
                  <w:vAlign w:val="center"/>
                </w:tcPr>
                <w:p w14:paraId="6CBFEB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0</w:t>
                  </w: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529</w:t>
                  </w:r>
                </w:p>
              </w:tc>
              <w:tc>
                <w:tcPr>
                  <w:tcW w:w="1094" w:type="dxa"/>
                  <w:gridSpan w:val="2"/>
                  <w:tcBorders>
                    <w:top w:val="single" w:color="auto" w:sz="4" w:space="0"/>
                    <w:left w:val="single" w:color="auto" w:sz="4" w:space="0"/>
                    <w:bottom w:val="single" w:color="auto" w:sz="4" w:space="0"/>
                    <w:right w:val="single" w:color="auto" w:sz="4" w:space="0"/>
                  </w:tcBorders>
                  <w:noWrap w:val="0"/>
                  <w:vAlign w:val="center"/>
                </w:tcPr>
                <w:p w14:paraId="3B44F4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default" w:ascii="Times New Roman" w:hAnsi="Times New Roman" w:eastAsia="宋体" w:cs="宋体"/>
                      <w:caps w:val="0"/>
                      <w:color w:val="auto"/>
                      <w:spacing w:val="0"/>
                      <w:sz w:val="21"/>
                      <w:szCs w:val="21"/>
                      <w:highlight w:val="none"/>
                      <w:lang w:val="en-US" w:eastAsia="zh-CN"/>
                    </w:rPr>
                    <w:t>200</w:t>
                  </w:r>
                </w:p>
              </w:tc>
              <w:tc>
                <w:tcPr>
                  <w:tcW w:w="959" w:type="dxa"/>
                  <w:tcBorders>
                    <w:top w:val="single" w:color="auto" w:sz="4" w:space="0"/>
                    <w:left w:val="single" w:color="auto" w:sz="4" w:space="0"/>
                    <w:bottom w:val="single" w:color="auto" w:sz="4" w:space="0"/>
                    <w:right w:val="single" w:color="auto" w:sz="4" w:space="0"/>
                  </w:tcBorders>
                  <w:noWrap w:val="0"/>
                  <w:vAlign w:val="center"/>
                </w:tcPr>
                <w:p w14:paraId="2FE186B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caps w:val="0"/>
                      <w:color w:val="auto"/>
                      <w:spacing w:val="0"/>
                      <w:sz w:val="21"/>
                      <w:szCs w:val="21"/>
                      <w:highlight w:val="none"/>
                      <w:lang w:val="en-US" w:eastAsia="zh-CN"/>
                    </w:rPr>
                    <w:t>/</w:t>
                  </w:r>
                </w:p>
              </w:tc>
              <w:tc>
                <w:tcPr>
                  <w:tcW w:w="1014" w:type="dxa"/>
                  <w:tcBorders>
                    <w:top w:val="single" w:color="auto" w:sz="4" w:space="0"/>
                    <w:left w:val="single" w:color="auto" w:sz="4" w:space="0"/>
                    <w:bottom w:val="single" w:color="auto" w:sz="4" w:space="0"/>
                    <w:right w:val="single" w:color="auto" w:sz="4" w:space="0"/>
                  </w:tcBorders>
                  <w:noWrap w:val="0"/>
                  <w:vAlign w:val="center"/>
                </w:tcPr>
                <w:p w14:paraId="0FB95EF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cs="宋体"/>
                      <w:caps w:val="0"/>
                      <w:color w:val="auto"/>
                      <w:spacing w:val="0"/>
                      <w:sz w:val="21"/>
                      <w:szCs w:val="21"/>
                      <w:highlight w:val="none"/>
                      <w:lang w:val="en-US" w:eastAsia="zh-CN"/>
                    </w:rPr>
                    <w:t>250</w:t>
                  </w:r>
                </w:p>
              </w:tc>
              <w:tc>
                <w:tcPr>
                  <w:tcW w:w="731" w:type="dxa"/>
                  <w:tcBorders>
                    <w:top w:val="single" w:color="auto" w:sz="4" w:space="0"/>
                    <w:left w:val="single" w:color="auto" w:sz="4" w:space="0"/>
                    <w:bottom w:val="single" w:color="auto" w:sz="4" w:space="0"/>
                    <w:right w:val="nil"/>
                  </w:tcBorders>
                  <w:noWrap w:val="0"/>
                  <w:vAlign w:val="center"/>
                </w:tcPr>
                <w:p w14:paraId="1F2D3EC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rPr>
                    <w:t>是</w:t>
                  </w:r>
                </w:p>
              </w:tc>
            </w:tr>
            <w:tr w14:paraId="686B5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dxa"/>
                  <w:vMerge w:val="continue"/>
                  <w:tcBorders>
                    <w:left w:val="nil"/>
                    <w:right w:val="single" w:color="auto" w:sz="4" w:space="0"/>
                  </w:tcBorders>
                  <w:noWrap w:val="0"/>
                  <w:vAlign w:val="center"/>
                </w:tcPr>
                <w:p w14:paraId="7B33F92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lang w:val="en-US" w:eastAsia="zh-CN"/>
                    </w:rPr>
                  </w:pPr>
                </w:p>
              </w:tc>
              <w:tc>
                <w:tcPr>
                  <w:tcW w:w="1589" w:type="dxa"/>
                  <w:tcBorders>
                    <w:top w:val="single" w:color="auto" w:sz="4" w:space="0"/>
                    <w:left w:val="single" w:color="auto" w:sz="4" w:space="0"/>
                    <w:bottom w:val="single" w:color="auto" w:sz="4" w:space="0"/>
                    <w:right w:val="single" w:color="auto" w:sz="4" w:space="0"/>
                  </w:tcBorders>
                  <w:noWrap w:val="0"/>
                  <w:vAlign w:val="center"/>
                </w:tcPr>
                <w:p w14:paraId="43FF8D1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烟气黑度</w:t>
                  </w:r>
                </w:p>
              </w:tc>
              <w:tc>
                <w:tcPr>
                  <w:tcW w:w="791" w:type="dxa"/>
                  <w:vMerge w:val="continue"/>
                  <w:tcBorders>
                    <w:left w:val="single" w:color="auto" w:sz="4" w:space="0"/>
                    <w:right w:val="single" w:color="auto" w:sz="4" w:space="0"/>
                  </w:tcBorders>
                  <w:noWrap w:val="0"/>
                  <w:vAlign w:val="center"/>
                </w:tcPr>
                <w:p w14:paraId="4385DB6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p>
              </w:tc>
              <w:tc>
                <w:tcPr>
                  <w:tcW w:w="2186" w:type="dxa"/>
                  <w:gridSpan w:val="3"/>
                  <w:tcBorders>
                    <w:top w:val="single" w:color="auto" w:sz="4" w:space="0"/>
                    <w:left w:val="single" w:color="auto" w:sz="4" w:space="0"/>
                    <w:bottom w:val="single" w:color="auto" w:sz="4" w:space="0"/>
                    <w:right w:val="single" w:color="auto" w:sz="4" w:space="0"/>
                  </w:tcBorders>
                  <w:noWrap w:val="0"/>
                  <w:vAlign w:val="center"/>
                </w:tcPr>
                <w:p w14:paraId="1A912B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w:t>
                  </w:r>
                  <w:r>
                    <w:rPr>
                      <w:rFonts w:hint="default" w:ascii="Times New Roman" w:hAnsi="Times New Roman" w:eastAsia="宋体" w:cs="宋体"/>
                      <w:caps w:val="0"/>
                      <w:color w:val="auto"/>
                      <w:spacing w:val="0"/>
                      <w:sz w:val="21"/>
                      <w:szCs w:val="21"/>
                      <w:highlight w:val="none"/>
                      <w:lang w:val="en-US" w:eastAsia="zh-CN"/>
                    </w:rPr>
                    <w:t>1</w:t>
                  </w:r>
                  <w:r>
                    <w:rPr>
                      <w:rFonts w:hint="eastAsia" w:ascii="Times New Roman" w:hAnsi="Times New Roman" w:eastAsia="宋体" w:cs="宋体"/>
                      <w:caps w:val="0"/>
                      <w:color w:val="auto"/>
                      <w:spacing w:val="0"/>
                      <w:sz w:val="21"/>
                      <w:szCs w:val="21"/>
                      <w:highlight w:val="none"/>
                      <w:lang w:val="en-US" w:eastAsia="zh-CN"/>
                    </w:rPr>
                    <w:t>（林格曼等级）</w:t>
                  </w:r>
                </w:p>
              </w:tc>
              <w:tc>
                <w:tcPr>
                  <w:tcW w:w="1973" w:type="dxa"/>
                  <w:gridSpan w:val="2"/>
                  <w:tcBorders>
                    <w:top w:val="single" w:color="auto" w:sz="4" w:space="0"/>
                    <w:left w:val="single" w:color="auto" w:sz="4" w:space="0"/>
                    <w:bottom w:val="single" w:color="auto" w:sz="4" w:space="0"/>
                    <w:right w:val="single" w:color="auto" w:sz="4" w:space="0"/>
                  </w:tcBorders>
                  <w:noWrap w:val="0"/>
                  <w:vAlign w:val="center"/>
                </w:tcPr>
                <w:p w14:paraId="42F0926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val="0"/>
                      <w:caps w:val="0"/>
                      <w:color w:val="auto"/>
                      <w:spacing w:val="0"/>
                      <w:kern w:val="2"/>
                      <w:sz w:val="21"/>
                      <w:szCs w:val="21"/>
                      <w:highlight w:val="none"/>
                      <w:lang w:val="en-US" w:eastAsia="zh-CN" w:bidi="ar-SA"/>
                    </w:rPr>
                  </w:pPr>
                  <w:r>
                    <w:rPr>
                      <w:rFonts w:hint="eastAsia" w:ascii="Times New Roman" w:hAnsi="Times New Roman" w:eastAsia="宋体" w:cs="宋体"/>
                      <w:bCs w:val="0"/>
                      <w:caps w:val="0"/>
                      <w:color w:val="auto"/>
                      <w:spacing w:val="0"/>
                      <w:kern w:val="2"/>
                      <w:sz w:val="21"/>
                      <w:szCs w:val="21"/>
                      <w:highlight w:val="none"/>
                      <w:lang w:val="en-US" w:eastAsia="zh-CN" w:bidi="ar-SA"/>
                    </w:rPr>
                    <w:t>≤</w:t>
                  </w:r>
                  <w:r>
                    <w:rPr>
                      <w:rFonts w:hint="default" w:ascii="Times New Roman" w:hAnsi="Times New Roman" w:eastAsia="宋体" w:cs="宋体"/>
                      <w:caps w:val="0"/>
                      <w:color w:val="auto"/>
                      <w:spacing w:val="0"/>
                      <w:sz w:val="21"/>
                      <w:szCs w:val="21"/>
                      <w:highlight w:val="none"/>
                      <w:lang w:val="en-US" w:eastAsia="zh-CN"/>
                    </w:rPr>
                    <w:t>1</w:t>
                  </w:r>
                  <w:r>
                    <w:rPr>
                      <w:rFonts w:hint="eastAsia" w:ascii="Times New Roman" w:hAnsi="Times New Roman" w:eastAsia="宋体" w:cs="宋体"/>
                      <w:caps w:val="0"/>
                      <w:color w:val="auto"/>
                      <w:spacing w:val="0"/>
                      <w:sz w:val="21"/>
                      <w:szCs w:val="21"/>
                      <w:highlight w:val="none"/>
                      <w:lang w:val="en-US" w:eastAsia="zh-CN"/>
                    </w:rPr>
                    <w:t>（林格曼等级）</w:t>
                  </w:r>
                </w:p>
              </w:tc>
              <w:tc>
                <w:tcPr>
                  <w:tcW w:w="731" w:type="dxa"/>
                  <w:tcBorders>
                    <w:top w:val="single" w:color="auto" w:sz="4" w:space="0"/>
                    <w:left w:val="single" w:color="auto" w:sz="4" w:space="0"/>
                    <w:bottom w:val="single" w:color="auto" w:sz="4" w:space="0"/>
                    <w:right w:val="nil"/>
                  </w:tcBorders>
                  <w:noWrap w:val="0"/>
                  <w:vAlign w:val="center"/>
                </w:tcPr>
                <w:p w14:paraId="15B3664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是</w:t>
                  </w:r>
                </w:p>
              </w:tc>
            </w:tr>
          </w:tbl>
          <w:p w14:paraId="08A35DE3">
            <w:pPr>
              <w:spacing w:line="360" w:lineRule="auto"/>
              <w:rPr>
                <w:rFonts w:hint="eastAsia" w:ascii="Times New Roman" w:hAnsi="Times New Roman" w:eastAsia="宋体" w:cs="宋体"/>
                <w:caps w:val="0"/>
                <w:color w:val="auto"/>
                <w:spacing w:val="0"/>
                <w:sz w:val="24"/>
                <w:highlight w:val="none"/>
                <w:lang w:val="en-US" w:eastAsia="zh-CN"/>
              </w:rPr>
            </w:pPr>
            <w:r>
              <w:rPr>
                <w:rFonts w:hint="eastAsia" w:ascii="Times New Roman" w:hAnsi="Times New Roman" w:eastAsia="宋体" w:cs="宋体"/>
                <w:bCs/>
                <w:caps w:val="0"/>
                <w:color w:val="auto"/>
                <w:spacing w:val="0"/>
                <w:sz w:val="24"/>
                <w:szCs w:val="24"/>
                <w:highlight w:val="none"/>
                <w:lang w:val="en-US" w:eastAsia="zh-CN"/>
              </w:rPr>
              <w:t>由上表可知，本项目废气满足</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锅炉大气污染物排放标准</w:t>
            </w:r>
            <w:r>
              <w:rPr>
                <w:rFonts w:hint="eastAsia" w:ascii="Times New Roman" w:hAnsi="Times New Roman" w:eastAsia="宋体" w:cs="宋体"/>
                <w:caps w:val="0"/>
                <w:spacing w:val="0"/>
                <w:sz w:val="24"/>
                <w:highlight w:val="none"/>
              </w:rPr>
              <w:t>》（GB</w:t>
            </w:r>
            <w:r>
              <w:rPr>
                <w:rFonts w:hint="eastAsia" w:ascii="Times New Roman" w:hAnsi="Times New Roman" w:eastAsia="宋体" w:cs="宋体"/>
                <w:caps w:val="0"/>
                <w:spacing w:val="0"/>
                <w:sz w:val="24"/>
                <w:highlight w:val="none"/>
                <w:lang w:val="en-US" w:eastAsia="zh-CN"/>
              </w:rPr>
              <w:t>13271</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2014</w:t>
            </w:r>
            <w:r>
              <w:rPr>
                <w:rFonts w:hint="eastAsia" w:ascii="Times New Roman" w:hAnsi="Times New Roman" w:eastAsia="宋体" w:cs="宋体"/>
                <w:caps w:val="0"/>
                <w:spacing w:val="0"/>
                <w:sz w:val="24"/>
                <w:highlight w:val="none"/>
              </w:rPr>
              <w:t>）</w:t>
            </w:r>
            <w:r>
              <w:rPr>
                <w:rFonts w:hint="eastAsia" w:ascii="Times New Roman" w:hAnsi="Times New Roman" w:eastAsia="宋体" w:cs="宋体"/>
                <w:bCs/>
                <w:caps w:val="0"/>
                <w:color w:val="auto"/>
                <w:spacing w:val="0"/>
                <w:sz w:val="24"/>
                <w:szCs w:val="24"/>
                <w:highlight w:val="none"/>
                <w:lang w:val="en-US" w:eastAsia="zh-CN"/>
              </w:rPr>
              <w:t>表2排放限值。</w:t>
            </w:r>
          </w:p>
          <w:p w14:paraId="5F87D34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宋体"/>
                <w:b/>
                <w:bCs w:val="0"/>
                <w:caps w:val="0"/>
                <w:color w:val="000000" w:themeColor="text1"/>
                <w:sz w:val="24"/>
                <w:szCs w:val="24"/>
                <w:highlight w:val="none"/>
                <w14:textFill>
                  <w14:solidFill>
                    <w14:schemeClr w14:val="tx1"/>
                  </w14:solidFill>
                </w14:textFill>
              </w:rPr>
            </w:pPr>
            <w:r>
              <w:rPr>
                <w:rFonts w:hint="eastAsia" w:ascii="Times New Roman" w:hAnsi="Times New Roman" w:eastAsia="宋体" w:cs="宋体"/>
                <w:b/>
                <w:bCs w:val="0"/>
                <w:caps w:val="0"/>
                <w:color w:val="000000" w:themeColor="text1"/>
                <w:sz w:val="24"/>
                <w:szCs w:val="24"/>
                <w:highlight w:val="none"/>
                <w:lang w:val="en-US" w:eastAsia="zh-CN"/>
                <w14:textFill>
                  <w14:solidFill>
                    <w14:schemeClr w14:val="tx1"/>
                  </w14:solidFill>
                </w14:textFill>
              </w:rPr>
              <w:t>1.5</w:t>
            </w:r>
            <w:r>
              <w:rPr>
                <w:rFonts w:hint="default" w:ascii="Times New Roman" w:hAnsi="Times New Roman" w:eastAsia="宋体" w:cs="宋体"/>
                <w:b/>
                <w:bCs w:val="0"/>
                <w:caps w:val="0"/>
                <w:color w:val="000000" w:themeColor="text1"/>
                <w:sz w:val="24"/>
                <w:szCs w:val="24"/>
                <w:highlight w:val="none"/>
                <w14:textFill>
                  <w14:solidFill>
                    <w14:schemeClr w14:val="tx1"/>
                  </w14:solidFill>
                </w14:textFill>
              </w:rPr>
              <w:t>非正常工况废气排放</w:t>
            </w:r>
          </w:p>
          <w:p w14:paraId="4391B54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bCs/>
                <w:caps w:val="0"/>
                <w:color w:val="000000" w:themeColor="text1"/>
                <w:sz w:val="24"/>
                <w:szCs w:val="24"/>
                <w:highlight w:val="none"/>
                <w14:textFill>
                  <w14:solidFill>
                    <w14:schemeClr w14:val="tx1"/>
                  </w14:solidFill>
                </w14:textFill>
              </w:rPr>
            </w:pPr>
            <w:r>
              <w:rPr>
                <w:rFonts w:hint="eastAsia" w:ascii="Times New Roman" w:hAnsi="Times New Roman" w:eastAsia="宋体" w:cs="宋体"/>
                <w:bCs/>
                <w:caps w:val="0"/>
                <w:color w:val="000000" w:themeColor="text1"/>
                <w:sz w:val="24"/>
                <w:szCs w:val="24"/>
                <w:highlight w:val="none"/>
                <w14:textFill>
                  <w14:solidFill>
                    <w14:schemeClr w14:val="tx1"/>
                  </w14:solidFill>
                </w14:textFill>
              </w:rPr>
              <w:t>根据大气导则规定，污染物排放控制措施达不到应有效率、工艺设备运转异常等情况下的污染排放归为非正常排放。对照导则要求，项目废气治理措施发生异常时，会导致废气非正常排放。</w:t>
            </w:r>
          </w:p>
          <w:p w14:paraId="3431160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bCs/>
                <w:caps w:val="0"/>
                <w:color w:val="000000" w:themeColor="text1"/>
                <w:sz w:val="24"/>
                <w:szCs w:val="24"/>
                <w:highlight w:val="none"/>
                <w14:textFill>
                  <w14:solidFill>
                    <w14:schemeClr w14:val="tx1"/>
                  </w14:solidFill>
                </w14:textFill>
              </w:rPr>
            </w:pPr>
            <w:r>
              <w:rPr>
                <w:rFonts w:hint="eastAsia" w:ascii="Times New Roman" w:hAnsi="Times New Roman" w:eastAsia="宋体" w:cs="宋体"/>
                <w:bCs/>
                <w:caps w:val="0"/>
                <w:color w:val="000000" w:themeColor="text1"/>
                <w:sz w:val="24"/>
                <w:szCs w:val="24"/>
                <w:highlight w:val="none"/>
                <w14:textFill>
                  <w14:solidFill>
                    <w14:schemeClr w14:val="tx1"/>
                  </w14:solidFill>
                </w14:textFill>
              </w:rPr>
              <w:t>①非正常工况原因分析项目废气经治理措施进行处理，经过一段时间的生产运行后，内部关键部件未及时更换，从而使处理效率降低。</w:t>
            </w:r>
          </w:p>
          <w:p w14:paraId="0C676786">
            <w:pPr>
              <w:pStyle w:val="4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eastAsia" w:ascii="Times New Roman" w:hAnsi="Times New Roman" w:eastAsia="宋体" w:cs="宋体"/>
                <w:bCs/>
                <w:caps w:val="0"/>
                <w:color w:val="auto"/>
                <w:kern w:val="2"/>
                <w:sz w:val="24"/>
                <w:szCs w:val="24"/>
                <w:highlight w:val="none"/>
                <w:lang w:val="en-US" w:eastAsia="zh-CN" w:bidi="ar-SA"/>
              </w:rPr>
            </w:pPr>
            <w:r>
              <w:rPr>
                <w:rFonts w:hint="eastAsia" w:ascii="Times New Roman" w:hAnsi="Times New Roman" w:eastAsia="宋体" w:cs="宋体"/>
                <w:bCs/>
                <w:caps w:val="0"/>
                <w:color w:val="auto"/>
                <w:kern w:val="2"/>
                <w:sz w:val="24"/>
                <w:szCs w:val="24"/>
                <w:highlight w:val="none"/>
                <w:lang w:val="en-US" w:eastAsia="zh-CN" w:bidi="ar-SA"/>
              </w:rPr>
              <w:t>②非正常工况污染物排放分析应考虑布袋除尘器故障或破损导致效率降低的情况，</w:t>
            </w:r>
            <w:r>
              <w:rPr>
                <w:rFonts w:ascii="Times New Roman" w:hAnsi="Times New Roman" w:eastAsia="宋体" w:cs="宋体"/>
                <w:caps w:val="0"/>
                <w:color w:val="auto"/>
                <w:spacing w:val="-2"/>
                <w:sz w:val="24"/>
                <w:szCs w:val="24"/>
                <w:highlight w:val="none"/>
              </w:rPr>
              <w:t>除尘效率降为90%</w:t>
            </w:r>
            <w:r>
              <w:rPr>
                <w:rFonts w:hint="eastAsia" w:ascii="Times New Roman" w:hAnsi="Times New Roman" w:cs="宋体"/>
                <w:caps w:val="0"/>
                <w:color w:val="auto"/>
                <w:spacing w:val="-2"/>
                <w:sz w:val="24"/>
                <w:szCs w:val="24"/>
                <w:highlight w:val="none"/>
                <w:lang w:eastAsia="zh-CN"/>
              </w:rPr>
              <w:t>；</w:t>
            </w:r>
            <w:r>
              <w:rPr>
                <w:rFonts w:hint="eastAsia" w:ascii="Times New Roman" w:hAnsi="Times New Roman" w:cs="宋体"/>
                <w:caps w:val="0"/>
                <w:color w:val="auto"/>
                <w:spacing w:val="-2"/>
                <w:sz w:val="24"/>
                <w:szCs w:val="24"/>
                <w:highlight w:val="none"/>
                <w:lang w:val="en-US" w:eastAsia="zh-CN"/>
              </w:rPr>
              <w:t>还应考虑低氮燃烧器失效</w:t>
            </w:r>
            <w:r>
              <w:rPr>
                <w:rFonts w:hint="eastAsia" w:ascii="Times New Roman" w:hAnsi="Times New Roman" w:eastAsia="宋体" w:cs="宋体"/>
                <w:caps w:val="0"/>
                <w:color w:val="auto"/>
                <w:spacing w:val="-2"/>
                <w:sz w:val="24"/>
                <w:szCs w:val="24"/>
                <w:highlight w:val="none"/>
                <w:lang w:eastAsia="zh-CN"/>
              </w:rPr>
              <w:t>。</w:t>
            </w:r>
            <w:r>
              <w:rPr>
                <w:rFonts w:hint="eastAsia" w:ascii="Times New Roman" w:hAnsi="Times New Roman" w:eastAsia="宋体" w:cs="宋体"/>
                <w:bCs/>
                <w:caps w:val="0"/>
                <w:color w:val="auto"/>
                <w:sz w:val="24"/>
                <w:szCs w:val="24"/>
                <w:highlight w:val="none"/>
              </w:rPr>
              <w:t>非正常工况下的污染物排放量见下表</w:t>
            </w:r>
            <w:r>
              <w:rPr>
                <w:rFonts w:hint="eastAsia" w:ascii="Times New Roman" w:hAnsi="Times New Roman" w:eastAsia="宋体" w:cs="宋体"/>
                <w:bCs/>
                <w:caps w:val="0"/>
                <w:color w:val="auto"/>
                <w:sz w:val="24"/>
                <w:szCs w:val="24"/>
                <w:highlight w:val="none"/>
                <w:lang w:eastAsia="zh-CN"/>
              </w:rPr>
              <w:t>。</w:t>
            </w:r>
          </w:p>
          <w:p w14:paraId="1AB79166">
            <w:pPr>
              <w:pStyle w:val="77"/>
              <w:keepNext w:val="0"/>
              <w:keepLines w:val="0"/>
              <w:pageBreakBefore w:val="0"/>
              <w:widowControl w:val="0"/>
              <w:numPr>
                <w:ilvl w:val="0"/>
                <w:numId w:val="0"/>
              </w:numPr>
              <w:tabs>
                <w:tab w:val="left" w:pos="4440"/>
              </w:tabs>
              <w:kinsoku/>
              <w:wordWrap/>
              <w:overflowPunct/>
              <w:topLinePunct w:val="0"/>
              <w:autoSpaceDE/>
              <w:autoSpaceDN/>
              <w:bidi w:val="0"/>
              <w:adjustRightInd w:val="0"/>
              <w:snapToGrid w:val="0"/>
              <w:spacing w:before="0" w:beforeLines="0" w:line="240" w:lineRule="auto"/>
              <w:ind w:left="0" w:leftChars="0" w:firstLine="0" w:firstLineChars="0"/>
              <w:jc w:val="center"/>
              <w:textAlignment w:val="auto"/>
              <w:rPr>
                <w:rFonts w:hint="default" w:ascii="Times New Roman" w:hAnsi="Times New Roman" w:eastAsia="宋体" w:cs="宋体"/>
                <w:b/>
                <w:bCs/>
                <w:caps w:val="0"/>
                <w:color w:val="000000" w:themeColor="text1"/>
                <w:szCs w:val="24"/>
                <w:highlight w:val="none"/>
                <w14:textFill>
                  <w14:solidFill>
                    <w14:schemeClr w14:val="tx1"/>
                  </w14:solidFill>
                </w14:textFill>
              </w:rPr>
            </w:pPr>
            <w:r>
              <w:rPr>
                <w:rFonts w:hint="default" w:ascii="Times New Roman" w:hAnsi="Times New Roman" w:eastAsia="宋体" w:cs="宋体"/>
                <w:b/>
                <w:bCs/>
                <w:caps w:val="0"/>
                <w:color w:val="000000" w:themeColor="text1"/>
                <w:szCs w:val="24"/>
                <w:highlight w:val="none"/>
                <w14:textFill>
                  <w14:solidFill>
                    <w14:schemeClr w14:val="tx1"/>
                  </w14:solidFill>
                </w14:textFill>
              </w:rPr>
              <w:t>表</w:t>
            </w:r>
            <w:r>
              <w:rPr>
                <w:rFonts w:hint="eastAsia" w:ascii="Times New Roman" w:hAnsi="Times New Roman" w:eastAsia="宋体" w:cs="宋体"/>
                <w:b/>
                <w:bCs/>
                <w:caps w:val="0"/>
                <w:color w:val="000000" w:themeColor="text1"/>
                <w:szCs w:val="24"/>
                <w:highlight w:val="none"/>
                <w:lang w:val="en-US" w:eastAsia="zh-CN"/>
                <w14:textFill>
                  <w14:solidFill>
                    <w14:schemeClr w14:val="tx1"/>
                  </w14:solidFill>
                </w14:textFill>
              </w:rPr>
              <w:t>4-</w:t>
            </w:r>
            <w:r>
              <w:rPr>
                <w:rFonts w:hint="eastAsia" w:ascii="Times New Roman" w:hAnsi="Times New Roman" w:cs="宋体"/>
                <w:b/>
                <w:bCs/>
                <w:caps w:val="0"/>
                <w:color w:val="000000" w:themeColor="text1"/>
                <w:szCs w:val="24"/>
                <w:highlight w:val="none"/>
                <w:lang w:val="en-US" w:eastAsia="zh-CN"/>
                <w14:textFill>
                  <w14:solidFill>
                    <w14:schemeClr w14:val="tx1"/>
                  </w14:solidFill>
                </w14:textFill>
              </w:rPr>
              <w:t>6</w:t>
            </w:r>
            <w:r>
              <w:rPr>
                <w:rFonts w:hint="eastAsia" w:ascii="Times New Roman" w:hAnsi="Times New Roman" w:eastAsia="宋体" w:cs="宋体"/>
                <w:b/>
                <w:bCs/>
                <w:caps w:val="0"/>
                <w:color w:val="000000" w:themeColor="text1"/>
                <w:szCs w:val="24"/>
                <w:highlight w:val="none"/>
                <w:lang w:val="en-US" w:eastAsia="zh-CN"/>
                <w14:textFill>
                  <w14:solidFill>
                    <w14:schemeClr w14:val="tx1"/>
                  </w14:solidFill>
                </w14:textFill>
              </w:rPr>
              <w:t xml:space="preserve"> </w:t>
            </w:r>
            <w:r>
              <w:rPr>
                <w:rFonts w:hint="default" w:ascii="Times New Roman" w:hAnsi="Times New Roman" w:eastAsia="宋体" w:cs="宋体"/>
                <w:b/>
                <w:bCs/>
                <w:caps w:val="0"/>
                <w:color w:val="000000" w:themeColor="text1"/>
                <w:szCs w:val="24"/>
                <w:highlight w:val="none"/>
                <w14:textFill>
                  <w14:solidFill>
                    <w14:schemeClr w14:val="tx1"/>
                  </w14:solidFill>
                </w14:textFill>
              </w:rPr>
              <w:t>本项目非正常工况下废气估算模式参数值</w:t>
            </w:r>
          </w:p>
          <w:tbl>
            <w:tblPr>
              <w:tblStyle w:val="35"/>
              <w:tblW w:w="804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9"/>
              <w:gridCol w:w="641"/>
              <w:gridCol w:w="1132"/>
              <w:gridCol w:w="1118"/>
              <w:gridCol w:w="893"/>
              <w:gridCol w:w="1091"/>
              <w:gridCol w:w="843"/>
              <w:gridCol w:w="843"/>
              <w:gridCol w:w="880"/>
            </w:tblGrid>
            <w:tr w14:paraId="3CAE48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72" w:type="pct"/>
                  <w:tcBorders>
                    <w:tl2br w:val="nil"/>
                    <w:tr2bl w:val="nil"/>
                  </w:tcBorders>
                  <w:noWrap w:val="0"/>
                  <w:vAlign w:val="center"/>
                </w:tcPr>
                <w:p w14:paraId="39C9610C">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sz w:val="21"/>
                      <w:szCs w:val="21"/>
                      <w:highlight w:val="none"/>
                      <w14:textFill>
                        <w14:solidFill>
                          <w14:schemeClr w14:val="tx1"/>
                        </w14:solidFill>
                      </w14:textFill>
                    </w:rPr>
                    <w:t>编号</w:t>
                  </w:r>
                </w:p>
              </w:tc>
              <w:tc>
                <w:tcPr>
                  <w:tcW w:w="398" w:type="pct"/>
                  <w:tcBorders>
                    <w:tl2br w:val="nil"/>
                    <w:tr2bl w:val="nil"/>
                  </w:tcBorders>
                  <w:noWrap w:val="0"/>
                  <w:vAlign w:val="center"/>
                </w:tcPr>
                <w:p w14:paraId="2D49E0BF">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sz w:val="21"/>
                      <w:szCs w:val="21"/>
                      <w:highlight w:val="none"/>
                      <w14:textFill>
                        <w14:solidFill>
                          <w14:schemeClr w14:val="tx1"/>
                        </w14:solidFill>
                      </w14:textFill>
                    </w:rPr>
                    <w:t>名称</w:t>
                  </w:r>
                </w:p>
              </w:tc>
              <w:tc>
                <w:tcPr>
                  <w:tcW w:w="703" w:type="pct"/>
                  <w:tcBorders>
                    <w:tl2br w:val="nil"/>
                    <w:tr2bl w:val="nil"/>
                  </w:tcBorders>
                  <w:noWrap w:val="0"/>
                  <w:vAlign w:val="center"/>
                </w:tcPr>
                <w:p w14:paraId="2919F692">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b/>
                      <w:bCs/>
                      <w:caps w:val="0"/>
                      <w:color w:val="000000" w:themeColor="text1"/>
                      <w:sz w:val="21"/>
                      <w:szCs w:val="21"/>
                      <w:highlight w:val="none"/>
                      <w:lang w:eastAsia="zh-CN"/>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lang w:val="en-US" w:eastAsia="zh-CN"/>
                      <w14:textFill>
                        <w14:solidFill>
                          <w14:schemeClr w14:val="tx1"/>
                        </w14:solidFill>
                      </w14:textFill>
                    </w:rPr>
                    <w:t>非正常排放原因</w:t>
                  </w:r>
                </w:p>
              </w:tc>
              <w:tc>
                <w:tcPr>
                  <w:tcW w:w="695" w:type="pct"/>
                  <w:tcBorders>
                    <w:tl2br w:val="nil"/>
                    <w:tr2bl w:val="nil"/>
                  </w:tcBorders>
                  <w:noWrap w:val="0"/>
                  <w:vAlign w:val="center"/>
                </w:tcPr>
                <w:p w14:paraId="2510EC61">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sz w:val="21"/>
                      <w:szCs w:val="21"/>
                      <w:highlight w:val="none"/>
                      <w14:textFill>
                        <w14:solidFill>
                          <w14:schemeClr w14:val="tx1"/>
                        </w14:solidFill>
                      </w14:textFill>
                    </w:rPr>
                    <w:t>年排放小时数/h</w:t>
                  </w:r>
                </w:p>
              </w:tc>
              <w:tc>
                <w:tcPr>
                  <w:tcW w:w="555" w:type="pct"/>
                  <w:tcBorders>
                    <w:tl2br w:val="nil"/>
                    <w:tr2bl w:val="nil"/>
                  </w:tcBorders>
                  <w:noWrap w:val="0"/>
                  <w:vAlign w:val="center"/>
                </w:tcPr>
                <w:p w14:paraId="12D9206D">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sz w:val="21"/>
                      <w:szCs w:val="21"/>
                      <w:highlight w:val="none"/>
                      <w14:textFill>
                        <w14:solidFill>
                          <w14:schemeClr w14:val="tx1"/>
                        </w14:solidFill>
                      </w14:textFill>
                    </w:rPr>
                    <w:t>排放工况</w:t>
                  </w:r>
                </w:p>
              </w:tc>
              <w:tc>
                <w:tcPr>
                  <w:tcW w:w="678" w:type="pct"/>
                  <w:tcBorders>
                    <w:tl2br w:val="nil"/>
                    <w:tr2bl w:val="nil"/>
                  </w:tcBorders>
                  <w:noWrap w:val="0"/>
                  <w:vAlign w:val="center"/>
                </w:tcPr>
                <w:p w14:paraId="39690940">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sz w:val="21"/>
                      <w:szCs w:val="21"/>
                      <w:highlight w:val="none"/>
                      <w14:textFill>
                        <w14:solidFill>
                          <w14:schemeClr w14:val="tx1"/>
                        </w14:solidFill>
                      </w14:textFill>
                    </w:rPr>
                    <w:t>污染物</w:t>
                  </w:r>
                </w:p>
              </w:tc>
              <w:tc>
                <w:tcPr>
                  <w:tcW w:w="524" w:type="pct"/>
                  <w:tcBorders>
                    <w:tl2br w:val="nil"/>
                    <w:tr2bl w:val="nil"/>
                  </w:tcBorders>
                  <w:noWrap w:val="0"/>
                  <w:vAlign w:val="center"/>
                </w:tcPr>
                <w:p w14:paraId="09DA983C">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sz w:val="21"/>
                      <w:szCs w:val="21"/>
                      <w:highlight w:val="none"/>
                      <w14:textFill>
                        <w14:solidFill>
                          <w14:schemeClr w14:val="tx1"/>
                        </w14:solidFill>
                      </w14:textFill>
                    </w:rPr>
                    <w:t>排放速率/（kg/h）</w:t>
                  </w:r>
                </w:p>
              </w:tc>
              <w:tc>
                <w:tcPr>
                  <w:tcW w:w="524" w:type="pct"/>
                  <w:tcBorders>
                    <w:tl2br w:val="nil"/>
                    <w:tr2bl w:val="nil"/>
                  </w:tcBorders>
                  <w:noWrap w:val="0"/>
                  <w:vAlign w:val="center"/>
                </w:tcPr>
                <w:p w14:paraId="6FB29A72">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lang w:val="en-US" w:eastAsia="zh-CN"/>
                      <w14:textFill>
                        <w14:solidFill>
                          <w14:schemeClr w14:val="tx1"/>
                        </w14:solidFill>
                      </w14:textFill>
                    </w:rPr>
                    <w:t>排放浓度mg/m</w:t>
                  </w:r>
                  <w:r>
                    <w:rPr>
                      <w:rFonts w:hint="eastAsia" w:ascii="Times New Roman" w:hAnsi="Times New Roman" w:eastAsia="宋体" w:cs="宋体"/>
                      <w:b/>
                      <w:bCs/>
                      <w:caps w:val="0"/>
                      <w:color w:val="000000" w:themeColor="text1"/>
                      <w:sz w:val="21"/>
                      <w:szCs w:val="21"/>
                      <w:highlight w:val="none"/>
                      <w:vertAlign w:val="superscript"/>
                      <w:lang w:val="en-US" w:eastAsia="zh-CN"/>
                      <w14:textFill>
                        <w14:solidFill>
                          <w14:schemeClr w14:val="tx1"/>
                        </w14:solidFill>
                      </w14:textFill>
                    </w:rPr>
                    <w:t>3</w:t>
                  </w:r>
                </w:p>
              </w:tc>
              <w:tc>
                <w:tcPr>
                  <w:tcW w:w="547" w:type="pct"/>
                  <w:tcBorders>
                    <w:tl2br w:val="nil"/>
                    <w:tr2bl w:val="nil"/>
                  </w:tcBorders>
                  <w:noWrap w:val="0"/>
                  <w:vAlign w:val="center"/>
                </w:tcPr>
                <w:p w14:paraId="19B4B98F">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lang w:val="en-US" w:eastAsia="zh-CN"/>
                      <w14:textFill>
                        <w14:solidFill>
                          <w14:schemeClr w14:val="tx1"/>
                        </w14:solidFill>
                      </w14:textFill>
                    </w:rPr>
                    <w:t>达标分析</w:t>
                  </w:r>
                </w:p>
              </w:tc>
            </w:tr>
            <w:tr w14:paraId="148EA2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72" w:type="pct"/>
                  <w:vMerge w:val="restart"/>
                  <w:tcBorders>
                    <w:tl2br w:val="nil"/>
                    <w:tr2bl w:val="nil"/>
                  </w:tcBorders>
                  <w:noWrap w:val="0"/>
                  <w:vAlign w:val="center"/>
                </w:tcPr>
                <w:p w14:paraId="3CCB2FDC">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DA</w:t>
                  </w:r>
                </w:p>
                <w:p w14:paraId="7FD96E76">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003</w:t>
                  </w:r>
                </w:p>
              </w:tc>
              <w:tc>
                <w:tcPr>
                  <w:tcW w:w="398" w:type="pct"/>
                  <w:vMerge w:val="restart"/>
                  <w:tcBorders>
                    <w:tl2br w:val="nil"/>
                    <w:tr2bl w:val="nil"/>
                  </w:tcBorders>
                  <w:noWrap w:val="0"/>
                  <w:vAlign w:val="center"/>
                </w:tcPr>
                <w:p w14:paraId="73FC110F">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废气</w:t>
                  </w:r>
                </w:p>
              </w:tc>
              <w:tc>
                <w:tcPr>
                  <w:tcW w:w="703" w:type="pct"/>
                  <w:tcBorders>
                    <w:tl2br w:val="nil"/>
                    <w:tr2bl w:val="nil"/>
                  </w:tcBorders>
                  <w:noWrap w:val="0"/>
                  <w:vAlign w:val="center"/>
                </w:tcPr>
                <w:p w14:paraId="6D1A6E70">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布袋除尘器未更换导致效率降至90%</w:t>
                  </w:r>
                </w:p>
              </w:tc>
              <w:tc>
                <w:tcPr>
                  <w:tcW w:w="695" w:type="pct"/>
                  <w:tcBorders>
                    <w:tl2br w:val="nil"/>
                    <w:tr2bl w:val="nil"/>
                  </w:tcBorders>
                  <w:noWrap w:val="0"/>
                  <w:vAlign w:val="center"/>
                </w:tcPr>
                <w:p w14:paraId="2F936123">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&lt;1</w:t>
                  </w:r>
                </w:p>
              </w:tc>
              <w:tc>
                <w:tcPr>
                  <w:tcW w:w="555" w:type="pct"/>
                  <w:tcBorders>
                    <w:tl2br w:val="nil"/>
                    <w:tr2bl w:val="nil"/>
                  </w:tcBorders>
                  <w:noWrap w:val="0"/>
                  <w:vAlign w:val="center"/>
                </w:tcPr>
                <w:p w14:paraId="503013EF">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eastAsia="zh-CN"/>
                      <w14:textFill>
                        <w14:solidFill>
                          <w14:schemeClr w14:val="tx1"/>
                        </w14:solidFill>
                      </w14:textFill>
                    </w:rPr>
                    <w:t>非</w:t>
                  </w:r>
                  <w:r>
                    <w:rPr>
                      <w:rFonts w:hint="default" w:ascii="Times New Roman" w:hAnsi="Times New Roman" w:eastAsia="宋体" w:cs="宋体"/>
                      <w:caps w:val="0"/>
                      <w:color w:val="000000" w:themeColor="text1"/>
                      <w:sz w:val="21"/>
                      <w:szCs w:val="21"/>
                      <w:highlight w:val="none"/>
                      <w14:textFill>
                        <w14:solidFill>
                          <w14:schemeClr w14:val="tx1"/>
                        </w14:solidFill>
                      </w14:textFill>
                    </w:rPr>
                    <w:t>正常排放</w:t>
                  </w:r>
                </w:p>
              </w:tc>
              <w:tc>
                <w:tcPr>
                  <w:tcW w:w="678" w:type="pct"/>
                  <w:tcBorders>
                    <w:tl2br w:val="nil"/>
                    <w:tr2bl w:val="nil"/>
                  </w:tcBorders>
                  <w:noWrap w:val="0"/>
                  <w:vAlign w:val="center"/>
                </w:tcPr>
                <w:p w14:paraId="20C271A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颗粒物</w:t>
                  </w:r>
                </w:p>
              </w:tc>
              <w:tc>
                <w:tcPr>
                  <w:tcW w:w="524" w:type="pct"/>
                  <w:tcBorders>
                    <w:tl2br w:val="nil"/>
                    <w:tr2bl w:val="nil"/>
                  </w:tcBorders>
                  <w:noWrap w:val="0"/>
                  <w:vAlign w:val="center"/>
                </w:tcPr>
                <w:p w14:paraId="0A0894A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t>0.000902</w:t>
                  </w:r>
                </w:p>
              </w:tc>
              <w:tc>
                <w:tcPr>
                  <w:tcW w:w="524" w:type="pct"/>
                  <w:tcBorders>
                    <w:tl2br w:val="nil"/>
                    <w:tr2bl w:val="nil"/>
                  </w:tcBorders>
                  <w:noWrap w:val="0"/>
                  <w:vAlign w:val="center"/>
                </w:tcPr>
                <w:p w14:paraId="4262A6B4">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t>2.046</w:t>
                  </w:r>
                </w:p>
              </w:tc>
              <w:tc>
                <w:tcPr>
                  <w:tcW w:w="547" w:type="pct"/>
                  <w:tcBorders>
                    <w:tl2br w:val="nil"/>
                    <w:tr2bl w:val="nil"/>
                  </w:tcBorders>
                  <w:noWrap w:val="0"/>
                  <w:vAlign w:val="center"/>
                </w:tcPr>
                <w:p w14:paraId="1F5B756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t>达标</w:t>
                  </w:r>
                </w:p>
              </w:tc>
            </w:tr>
            <w:tr w14:paraId="6E518E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72" w:type="pct"/>
                  <w:vMerge w:val="continue"/>
                  <w:tcBorders>
                    <w:tl2br w:val="nil"/>
                    <w:tr2bl w:val="nil"/>
                  </w:tcBorders>
                  <w:noWrap w:val="0"/>
                  <w:vAlign w:val="center"/>
                </w:tcPr>
                <w:p w14:paraId="107E14BA">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p>
              </w:tc>
              <w:tc>
                <w:tcPr>
                  <w:tcW w:w="398" w:type="pct"/>
                  <w:vMerge w:val="continue"/>
                  <w:tcBorders>
                    <w:tl2br w:val="nil"/>
                    <w:tr2bl w:val="nil"/>
                  </w:tcBorders>
                  <w:noWrap w:val="0"/>
                  <w:vAlign w:val="center"/>
                </w:tcPr>
                <w:p w14:paraId="19FC10C5">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p>
              </w:tc>
              <w:tc>
                <w:tcPr>
                  <w:tcW w:w="703" w:type="pct"/>
                  <w:tcBorders>
                    <w:tl2br w:val="nil"/>
                    <w:tr2bl w:val="nil"/>
                  </w:tcBorders>
                  <w:noWrap w:val="0"/>
                  <w:vAlign w:val="center"/>
                </w:tcPr>
                <w:p w14:paraId="11770D3D">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cs="宋体"/>
                      <w:caps w:val="0"/>
                      <w:color w:val="000000" w:themeColor="text1"/>
                      <w:sz w:val="21"/>
                      <w:szCs w:val="21"/>
                      <w:highlight w:val="none"/>
                      <w:lang w:val="en-US" w:eastAsia="zh-CN"/>
                      <w14:textFill>
                        <w14:solidFill>
                          <w14:schemeClr w14:val="tx1"/>
                        </w14:solidFill>
                      </w14:textFill>
                    </w:rPr>
                    <w:t>低氮燃烧器失效</w:t>
                  </w:r>
                </w:p>
              </w:tc>
              <w:tc>
                <w:tcPr>
                  <w:tcW w:w="695" w:type="pct"/>
                  <w:tcBorders>
                    <w:tl2br w:val="nil"/>
                    <w:tr2bl w:val="nil"/>
                  </w:tcBorders>
                  <w:noWrap w:val="0"/>
                  <w:vAlign w:val="center"/>
                </w:tcPr>
                <w:p w14:paraId="6163E2F7">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&lt;1</w:t>
                  </w:r>
                </w:p>
              </w:tc>
              <w:tc>
                <w:tcPr>
                  <w:tcW w:w="555" w:type="pct"/>
                  <w:tcBorders>
                    <w:tl2br w:val="nil"/>
                    <w:tr2bl w:val="nil"/>
                  </w:tcBorders>
                  <w:noWrap w:val="0"/>
                  <w:vAlign w:val="center"/>
                </w:tcPr>
                <w:p w14:paraId="072CEC45">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eastAsia="zh-CN"/>
                      <w14:textFill>
                        <w14:solidFill>
                          <w14:schemeClr w14:val="tx1"/>
                        </w14:solidFill>
                      </w14:textFill>
                    </w:rPr>
                    <w:t>非</w:t>
                  </w:r>
                  <w:r>
                    <w:rPr>
                      <w:rFonts w:hint="default" w:ascii="Times New Roman" w:hAnsi="Times New Roman" w:eastAsia="宋体" w:cs="宋体"/>
                      <w:caps w:val="0"/>
                      <w:color w:val="000000" w:themeColor="text1"/>
                      <w:sz w:val="21"/>
                      <w:szCs w:val="21"/>
                      <w:highlight w:val="none"/>
                      <w14:textFill>
                        <w14:solidFill>
                          <w14:schemeClr w14:val="tx1"/>
                        </w14:solidFill>
                      </w14:textFill>
                    </w:rPr>
                    <w:t>正常排放</w:t>
                  </w:r>
                </w:p>
              </w:tc>
              <w:tc>
                <w:tcPr>
                  <w:tcW w:w="678" w:type="pct"/>
                  <w:tcBorders>
                    <w:tl2br w:val="nil"/>
                    <w:tr2bl w:val="nil"/>
                  </w:tcBorders>
                  <w:noWrap w:val="0"/>
                  <w:vAlign w:val="center"/>
                </w:tcPr>
                <w:p w14:paraId="00B704E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cs="宋体"/>
                      <w:caps w:val="0"/>
                      <w:color w:val="000000" w:themeColor="text1"/>
                      <w:sz w:val="21"/>
                      <w:szCs w:val="21"/>
                      <w:highlight w:val="none"/>
                      <w:lang w:val="en-US" w:eastAsia="zh-CN"/>
                      <w14:textFill>
                        <w14:solidFill>
                          <w14:schemeClr w14:val="tx1"/>
                        </w14:solidFill>
                      </w14:textFill>
                    </w:rPr>
                    <w:t>氮氧化物</w:t>
                  </w:r>
                </w:p>
              </w:tc>
              <w:tc>
                <w:tcPr>
                  <w:tcW w:w="524" w:type="pct"/>
                  <w:tcBorders>
                    <w:tl2br w:val="nil"/>
                    <w:tr2bl w:val="nil"/>
                  </w:tcBorders>
                  <w:noWrap w:val="0"/>
                  <w:vAlign w:val="center"/>
                </w:tcPr>
                <w:p w14:paraId="6BD5D24F">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宋体"/>
                      <w:i w:val="0"/>
                      <w:iCs w:val="0"/>
                      <w:caps w:val="0"/>
                      <w:color w:val="000000" w:themeColor="text1"/>
                      <w:kern w:val="0"/>
                      <w:sz w:val="21"/>
                      <w:szCs w:val="21"/>
                      <w:highlight w:val="none"/>
                      <w:u w:val="none"/>
                      <w:lang w:val="en-US" w:eastAsia="zh-CN" w:bidi="ar"/>
                      <w14:textFill>
                        <w14:solidFill>
                          <w14:schemeClr w14:val="tx1"/>
                        </w14:solidFill>
                      </w14:textFill>
                    </w:rPr>
                    <w:t>0.1764</w:t>
                  </w:r>
                </w:p>
              </w:tc>
              <w:tc>
                <w:tcPr>
                  <w:tcW w:w="524" w:type="pct"/>
                  <w:tcBorders>
                    <w:tl2br w:val="nil"/>
                    <w:tr2bl w:val="nil"/>
                  </w:tcBorders>
                  <w:noWrap w:val="0"/>
                  <w:vAlign w:val="center"/>
                </w:tcPr>
                <w:p w14:paraId="60B4BAC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宋体"/>
                      <w:i w:val="0"/>
                      <w:iCs w:val="0"/>
                      <w:caps w:val="0"/>
                      <w:color w:val="000000" w:themeColor="text1"/>
                      <w:kern w:val="0"/>
                      <w:sz w:val="21"/>
                      <w:szCs w:val="21"/>
                      <w:highlight w:val="none"/>
                      <w:u w:val="none"/>
                      <w:lang w:val="en-US" w:eastAsia="zh-CN" w:bidi="ar"/>
                      <w14:textFill>
                        <w14:solidFill>
                          <w14:schemeClr w14:val="tx1"/>
                        </w14:solidFill>
                      </w14:textFill>
                    </w:rPr>
                    <w:t>400</w:t>
                  </w:r>
                </w:p>
              </w:tc>
              <w:tc>
                <w:tcPr>
                  <w:tcW w:w="547" w:type="pct"/>
                  <w:tcBorders>
                    <w:tl2br w:val="nil"/>
                    <w:tr2bl w:val="nil"/>
                  </w:tcBorders>
                  <w:noWrap w:val="0"/>
                  <w:vAlign w:val="center"/>
                </w:tcPr>
                <w:p w14:paraId="6820BE42">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宋体"/>
                      <w:i w:val="0"/>
                      <w:iCs w:val="0"/>
                      <w:caps w:val="0"/>
                      <w:color w:val="000000" w:themeColor="text1"/>
                      <w:kern w:val="0"/>
                      <w:sz w:val="21"/>
                      <w:szCs w:val="21"/>
                      <w:highlight w:val="none"/>
                      <w:u w:val="none"/>
                      <w:lang w:val="en-US" w:eastAsia="zh-CN" w:bidi="ar"/>
                      <w14:textFill>
                        <w14:solidFill>
                          <w14:schemeClr w14:val="tx1"/>
                        </w14:solidFill>
                      </w14:textFill>
                    </w:rPr>
                    <w:t>超标</w:t>
                  </w:r>
                </w:p>
              </w:tc>
            </w:tr>
            <w:tr w14:paraId="55A850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72" w:type="pct"/>
                  <w:vMerge w:val="restart"/>
                  <w:tcBorders>
                    <w:tl2br w:val="nil"/>
                    <w:tr2bl w:val="nil"/>
                  </w:tcBorders>
                  <w:noWrap w:val="0"/>
                  <w:vAlign w:val="center"/>
                </w:tcPr>
                <w:p w14:paraId="630F4A8D">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DA</w:t>
                  </w:r>
                </w:p>
                <w:p w14:paraId="56076473">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004</w:t>
                  </w:r>
                </w:p>
              </w:tc>
              <w:tc>
                <w:tcPr>
                  <w:tcW w:w="398" w:type="pct"/>
                  <w:vMerge w:val="restart"/>
                  <w:tcBorders>
                    <w:tl2br w:val="nil"/>
                    <w:tr2bl w:val="nil"/>
                  </w:tcBorders>
                  <w:noWrap w:val="0"/>
                  <w:vAlign w:val="center"/>
                </w:tcPr>
                <w:p w14:paraId="61263FE9">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snapToGrid w:val="0"/>
                      <w:color w:val="auto"/>
                      <w:spacing w:val="0"/>
                      <w:sz w:val="21"/>
                      <w:szCs w:val="21"/>
                      <w:highlight w:val="none"/>
                      <w:lang w:val="en-US" w:eastAsia="zh-CN"/>
                    </w:rPr>
                    <w:t>导热油炉</w:t>
                  </w: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废气</w:t>
                  </w:r>
                </w:p>
              </w:tc>
              <w:tc>
                <w:tcPr>
                  <w:tcW w:w="703" w:type="pct"/>
                  <w:tcBorders>
                    <w:tl2br w:val="nil"/>
                    <w:tr2bl w:val="nil"/>
                  </w:tcBorders>
                  <w:noWrap w:val="0"/>
                  <w:vAlign w:val="center"/>
                </w:tcPr>
                <w:p w14:paraId="34740BDD">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布袋除尘器未更换导致效率降至90%</w:t>
                  </w:r>
                </w:p>
              </w:tc>
              <w:tc>
                <w:tcPr>
                  <w:tcW w:w="695" w:type="pct"/>
                  <w:tcBorders>
                    <w:tl2br w:val="nil"/>
                    <w:tr2bl w:val="nil"/>
                  </w:tcBorders>
                  <w:noWrap w:val="0"/>
                  <w:vAlign w:val="center"/>
                </w:tcPr>
                <w:p w14:paraId="6AAAFF0A">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&lt;1</w:t>
                  </w:r>
                </w:p>
              </w:tc>
              <w:tc>
                <w:tcPr>
                  <w:tcW w:w="555" w:type="pct"/>
                  <w:tcBorders>
                    <w:tl2br w:val="nil"/>
                    <w:tr2bl w:val="nil"/>
                  </w:tcBorders>
                  <w:noWrap w:val="0"/>
                  <w:vAlign w:val="center"/>
                </w:tcPr>
                <w:p w14:paraId="7A9A5012">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eastAsia="zh-CN"/>
                      <w14:textFill>
                        <w14:solidFill>
                          <w14:schemeClr w14:val="tx1"/>
                        </w14:solidFill>
                      </w14:textFill>
                    </w:rPr>
                    <w:t>非</w:t>
                  </w:r>
                  <w:r>
                    <w:rPr>
                      <w:rFonts w:hint="default" w:ascii="Times New Roman" w:hAnsi="Times New Roman" w:eastAsia="宋体" w:cs="宋体"/>
                      <w:caps w:val="0"/>
                      <w:color w:val="000000" w:themeColor="text1"/>
                      <w:sz w:val="21"/>
                      <w:szCs w:val="21"/>
                      <w:highlight w:val="none"/>
                      <w14:textFill>
                        <w14:solidFill>
                          <w14:schemeClr w14:val="tx1"/>
                        </w14:solidFill>
                      </w14:textFill>
                    </w:rPr>
                    <w:t>正常排放</w:t>
                  </w:r>
                </w:p>
              </w:tc>
              <w:tc>
                <w:tcPr>
                  <w:tcW w:w="678" w:type="pct"/>
                  <w:tcBorders>
                    <w:tl2br w:val="nil"/>
                    <w:tr2bl w:val="nil"/>
                  </w:tcBorders>
                  <w:noWrap w:val="0"/>
                  <w:vAlign w:val="center"/>
                </w:tcPr>
                <w:p w14:paraId="0B6E24F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颗粒物</w:t>
                  </w:r>
                </w:p>
              </w:tc>
              <w:tc>
                <w:tcPr>
                  <w:tcW w:w="524" w:type="pct"/>
                  <w:tcBorders>
                    <w:tl2br w:val="nil"/>
                    <w:tr2bl w:val="nil"/>
                  </w:tcBorders>
                  <w:noWrap w:val="0"/>
                  <w:vAlign w:val="center"/>
                </w:tcPr>
                <w:p w14:paraId="2BC46AFF">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t>0.000902</w:t>
                  </w:r>
                </w:p>
              </w:tc>
              <w:tc>
                <w:tcPr>
                  <w:tcW w:w="524" w:type="pct"/>
                  <w:tcBorders>
                    <w:tl2br w:val="nil"/>
                    <w:tr2bl w:val="nil"/>
                  </w:tcBorders>
                  <w:noWrap w:val="0"/>
                  <w:vAlign w:val="center"/>
                </w:tcPr>
                <w:p w14:paraId="71C59C85">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t>2.046</w:t>
                  </w:r>
                </w:p>
              </w:tc>
              <w:tc>
                <w:tcPr>
                  <w:tcW w:w="547" w:type="pct"/>
                  <w:tcBorders>
                    <w:tl2br w:val="nil"/>
                    <w:tr2bl w:val="nil"/>
                  </w:tcBorders>
                  <w:noWrap w:val="0"/>
                  <w:vAlign w:val="center"/>
                </w:tcPr>
                <w:p w14:paraId="7609CF92">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t>达标</w:t>
                  </w:r>
                </w:p>
              </w:tc>
            </w:tr>
            <w:tr w14:paraId="6DF735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72" w:type="pct"/>
                  <w:vMerge w:val="continue"/>
                  <w:tcBorders>
                    <w:tl2br w:val="nil"/>
                    <w:tr2bl w:val="nil"/>
                  </w:tcBorders>
                  <w:noWrap w:val="0"/>
                  <w:vAlign w:val="center"/>
                </w:tcPr>
                <w:p w14:paraId="54522FC3">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p>
              </w:tc>
              <w:tc>
                <w:tcPr>
                  <w:tcW w:w="398" w:type="pct"/>
                  <w:vMerge w:val="continue"/>
                  <w:tcBorders>
                    <w:tl2br w:val="nil"/>
                    <w:tr2bl w:val="nil"/>
                  </w:tcBorders>
                  <w:noWrap w:val="0"/>
                  <w:vAlign w:val="center"/>
                </w:tcPr>
                <w:p w14:paraId="1DC7720F">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p>
              </w:tc>
              <w:tc>
                <w:tcPr>
                  <w:tcW w:w="703" w:type="pct"/>
                  <w:tcBorders>
                    <w:tl2br w:val="nil"/>
                    <w:tr2bl w:val="nil"/>
                  </w:tcBorders>
                  <w:noWrap w:val="0"/>
                  <w:vAlign w:val="center"/>
                </w:tcPr>
                <w:p w14:paraId="2FE696BB">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cs="宋体"/>
                      <w:caps w:val="0"/>
                      <w:color w:val="000000" w:themeColor="text1"/>
                      <w:sz w:val="21"/>
                      <w:szCs w:val="21"/>
                      <w:highlight w:val="none"/>
                      <w:lang w:val="en-US" w:eastAsia="zh-CN"/>
                      <w14:textFill>
                        <w14:solidFill>
                          <w14:schemeClr w14:val="tx1"/>
                        </w14:solidFill>
                      </w14:textFill>
                    </w:rPr>
                    <w:t>低氮燃烧器失效</w:t>
                  </w:r>
                </w:p>
              </w:tc>
              <w:tc>
                <w:tcPr>
                  <w:tcW w:w="695" w:type="pct"/>
                  <w:tcBorders>
                    <w:tl2br w:val="nil"/>
                    <w:tr2bl w:val="nil"/>
                  </w:tcBorders>
                  <w:noWrap w:val="0"/>
                  <w:vAlign w:val="center"/>
                </w:tcPr>
                <w:p w14:paraId="6F3DE934">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&lt;1</w:t>
                  </w:r>
                </w:p>
              </w:tc>
              <w:tc>
                <w:tcPr>
                  <w:tcW w:w="555" w:type="pct"/>
                  <w:tcBorders>
                    <w:tl2br w:val="nil"/>
                    <w:tr2bl w:val="nil"/>
                  </w:tcBorders>
                  <w:noWrap w:val="0"/>
                  <w:vAlign w:val="center"/>
                </w:tcPr>
                <w:p w14:paraId="20A363A5">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eastAsia="zh-CN"/>
                      <w14:textFill>
                        <w14:solidFill>
                          <w14:schemeClr w14:val="tx1"/>
                        </w14:solidFill>
                      </w14:textFill>
                    </w:rPr>
                    <w:t>非</w:t>
                  </w:r>
                  <w:r>
                    <w:rPr>
                      <w:rFonts w:hint="default" w:ascii="Times New Roman" w:hAnsi="Times New Roman" w:eastAsia="宋体" w:cs="宋体"/>
                      <w:caps w:val="0"/>
                      <w:color w:val="000000" w:themeColor="text1"/>
                      <w:sz w:val="21"/>
                      <w:szCs w:val="21"/>
                      <w:highlight w:val="none"/>
                      <w14:textFill>
                        <w14:solidFill>
                          <w14:schemeClr w14:val="tx1"/>
                        </w14:solidFill>
                      </w14:textFill>
                    </w:rPr>
                    <w:t>正常排放</w:t>
                  </w:r>
                </w:p>
              </w:tc>
              <w:tc>
                <w:tcPr>
                  <w:tcW w:w="678" w:type="pct"/>
                  <w:tcBorders>
                    <w:tl2br w:val="nil"/>
                    <w:tr2bl w:val="nil"/>
                  </w:tcBorders>
                  <w:noWrap w:val="0"/>
                  <w:vAlign w:val="center"/>
                </w:tcPr>
                <w:p w14:paraId="78A92D7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cs="宋体"/>
                      <w:caps w:val="0"/>
                      <w:color w:val="000000" w:themeColor="text1"/>
                      <w:sz w:val="21"/>
                      <w:szCs w:val="21"/>
                      <w:highlight w:val="none"/>
                      <w:lang w:val="en-US" w:eastAsia="zh-CN"/>
                      <w14:textFill>
                        <w14:solidFill>
                          <w14:schemeClr w14:val="tx1"/>
                        </w14:solidFill>
                      </w14:textFill>
                    </w:rPr>
                    <w:t>氮氧化物</w:t>
                  </w:r>
                </w:p>
              </w:tc>
              <w:tc>
                <w:tcPr>
                  <w:tcW w:w="524" w:type="pct"/>
                  <w:tcBorders>
                    <w:tl2br w:val="nil"/>
                    <w:tr2bl w:val="nil"/>
                  </w:tcBorders>
                  <w:noWrap w:val="0"/>
                  <w:vAlign w:val="center"/>
                </w:tcPr>
                <w:p w14:paraId="4FA352E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eastAsia"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宋体"/>
                      <w:i w:val="0"/>
                      <w:iCs w:val="0"/>
                      <w:caps w:val="0"/>
                      <w:color w:val="000000" w:themeColor="text1"/>
                      <w:kern w:val="0"/>
                      <w:sz w:val="21"/>
                      <w:szCs w:val="21"/>
                      <w:highlight w:val="none"/>
                      <w:u w:val="none"/>
                      <w:lang w:val="en-US" w:eastAsia="zh-CN" w:bidi="ar"/>
                      <w14:textFill>
                        <w14:solidFill>
                          <w14:schemeClr w14:val="tx1"/>
                        </w14:solidFill>
                      </w14:textFill>
                    </w:rPr>
                    <w:t>0.1764</w:t>
                  </w:r>
                </w:p>
              </w:tc>
              <w:tc>
                <w:tcPr>
                  <w:tcW w:w="524" w:type="pct"/>
                  <w:tcBorders>
                    <w:tl2br w:val="nil"/>
                    <w:tr2bl w:val="nil"/>
                  </w:tcBorders>
                  <w:noWrap w:val="0"/>
                  <w:vAlign w:val="center"/>
                </w:tcPr>
                <w:p w14:paraId="37AE34D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eastAsia"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宋体"/>
                      <w:i w:val="0"/>
                      <w:iCs w:val="0"/>
                      <w:caps w:val="0"/>
                      <w:color w:val="000000" w:themeColor="text1"/>
                      <w:kern w:val="0"/>
                      <w:sz w:val="21"/>
                      <w:szCs w:val="21"/>
                      <w:highlight w:val="none"/>
                      <w:u w:val="none"/>
                      <w:lang w:val="en-US" w:eastAsia="zh-CN" w:bidi="ar"/>
                      <w14:textFill>
                        <w14:solidFill>
                          <w14:schemeClr w14:val="tx1"/>
                        </w14:solidFill>
                      </w14:textFill>
                    </w:rPr>
                    <w:t>400</w:t>
                  </w:r>
                </w:p>
              </w:tc>
              <w:tc>
                <w:tcPr>
                  <w:tcW w:w="547" w:type="pct"/>
                  <w:tcBorders>
                    <w:tl2br w:val="nil"/>
                    <w:tr2bl w:val="nil"/>
                  </w:tcBorders>
                  <w:noWrap w:val="0"/>
                  <w:vAlign w:val="center"/>
                </w:tcPr>
                <w:p w14:paraId="17D3284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eastAsia" w:ascii="Times New Roman" w:hAnsi="Times New Roman" w:eastAsia="宋体" w:cs="宋体"/>
                      <w:i w:val="0"/>
                      <w:iCs w:val="0"/>
                      <w:cap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宋体"/>
                      <w:i w:val="0"/>
                      <w:iCs w:val="0"/>
                      <w:caps w:val="0"/>
                      <w:color w:val="000000" w:themeColor="text1"/>
                      <w:kern w:val="0"/>
                      <w:sz w:val="21"/>
                      <w:szCs w:val="21"/>
                      <w:highlight w:val="none"/>
                      <w:u w:val="none"/>
                      <w:lang w:val="en-US" w:eastAsia="zh-CN" w:bidi="ar"/>
                      <w14:textFill>
                        <w14:solidFill>
                          <w14:schemeClr w14:val="tx1"/>
                        </w14:solidFill>
                      </w14:textFill>
                    </w:rPr>
                    <w:t>超标</w:t>
                  </w:r>
                </w:p>
              </w:tc>
            </w:tr>
          </w:tbl>
          <w:p w14:paraId="7A85499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宋体"/>
                <w:cap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根据上述表格，</w:t>
            </w: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导热油炉</w:t>
            </w: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在布袋除尘器未及时更换导致效率降至90%的情况下，颗粒物的排放浓度处于达标状态。</w:t>
            </w:r>
          </w:p>
          <w:p w14:paraId="19523F7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b/>
                <w:caps w:val="0"/>
                <w:spacing w:val="0"/>
                <w:sz w:val="24"/>
                <w:highlight w:val="none"/>
                <w:lang w:val="en-US" w:eastAsia="zh-CN"/>
              </w:rPr>
            </w:pPr>
            <w:r>
              <w:rPr>
                <w:rFonts w:hint="eastAsia" w:ascii="Times New Roman" w:hAnsi="Times New Roman" w:eastAsia="宋体" w:cs="宋体"/>
                <w:caps w:val="0"/>
                <w:color w:val="000000" w:themeColor="text1"/>
                <w:sz w:val="24"/>
                <w:szCs w:val="24"/>
                <w:highlight w:val="none"/>
                <w14:textFill>
                  <w14:solidFill>
                    <w14:schemeClr w14:val="tx1"/>
                  </w14:solidFill>
                </w14:textFill>
              </w:rPr>
              <w:t>③为了避免非正常工况排污，拟采取以下措施：A</w:t>
            </w:r>
            <w:r>
              <w:rPr>
                <w:rFonts w:hint="eastAsia" w:ascii="Times New Roman" w:hAnsi="Times New Roman" w:eastAsia="宋体" w:cs="宋体"/>
                <w:caps w:val="0"/>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sz w:val="24"/>
                <w:szCs w:val="24"/>
                <w:highlight w:val="none"/>
                <w14:textFill>
                  <w14:solidFill>
                    <w14:schemeClr w14:val="tx1"/>
                  </w14:solidFill>
                </w14:textFill>
              </w:rPr>
              <w:t>加强日常维护管理，防微杜渐，是杜绝事故排放的前提。因此，需注重废气处理设备的维护，使其长期保持最佳工作状况。在定期检修工程主体设备时，同时检查和维护各主要废气处理设备的正常运行。B</w:t>
            </w:r>
            <w:r>
              <w:rPr>
                <w:rFonts w:hint="eastAsia" w:ascii="Times New Roman" w:hAnsi="Times New Roman" w:eastAsia="宋体" w:cs="宋体"/>
                <w:caps w:val="0"/>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sz w:val="24"/>
                <w:szCs w:val="24"/>
                <w:highlight w:val="none"/>
                <w14:textFill>
                  <w14:solidFill>
                    <w14:schemeClr w14:val="tx1"/>
                  </w14:solidFill>
                </w14:textFill>
              </w:rPr>
              <w:t>一旦发现废气处理设备运行不正常时，应及时予以处理或维修，如确定短时间内不能恢复正常运行的，应立即</w:t>
            </w: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停止运行</w:t>
            </w:r>
            <w:r>
              <w:rPr>
                <w:rFonts w:hint="eastAsia" w:ascii="Times New Roman" w:hAnsi="Times New Roman" w:eastAsia="宋体" w:cs="宋体"/>
                <w:caps w:val="0"/>
                <w:color w:val="000000" w:themeColor="text1"/>
                <w:sz w:val="24"/>
                <w:szCs w:val="24"/>
                <w:highlight w:val="none"/>
                <w14:textFill>
                  <w14:solidFill>
                    <w14:schemeClr w14:val="tx1"/>
                  </w14:solidFill>
                </w14:textFill>
              </w:rPr>
              <w:t>检修</w:t>
            </w: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设备</w:t>
            </w:r>
            <w:r>
              <w:rPr>
                <w:rFonts w:hint="eastAsia" w:ascii="Times New Roman" w:hAnsi="Times New Roman" w:eastAsia="宋体" w:cs="宋体"/>
                <w:caps w:val="0"/>
                <w:color w:val="000000" w:themeColor="text1"/>
                <w:sz w:val="24"/>
                <w:szCs w:val="24"/>
                <w:highlight w:val="none"/>
                <w14:textFill>
                  <w14:solidFill>
                    <w14:schemeClr w14:val="tx1"/>
                  </w14:solidFill>
                </w14:textFill>
              </w:rPr>
              <w:t>，以避免对环境造成更大的污染影响，待废气处理设备运行正常后恢复生产。C</w:t>
            </w:r>
            <w:r>
              <w:rPr>
                <w:rFonts w:hint="eastAsia" w:ascii="Times New Roman" w:hAnsi="Times New Roman" w:eastAsia="宋体" w:cs="宋体"/>
                <w:caps w:val="0"/>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sz w:val="24"/>
                <w:szCs w:val="24"/>
                <w:highlight w:val="none"/>
                <w14:textFill>
                  <w14:solidFill>
                    <w14:schemeClr w14:val="tx1"/>
                  </w14:solidFill>
                </w14:textFill>
              </w:rPr>
              <w:t>加强对日常设备的</w:t>
            </w: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检查。</w:t>
            </w:r>
          </w:p>
          <w:p w14:paraId="136EB12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宋体"/>
                <w:b/>
                <w:bCs/>
                <w:caps w:val="0"/>
                <w:spacing w:val="0"/>
                <w:sz w:val="24"/>
                <w:highlight w:val="none"/>
              </w:rPr>
            </w:pPr>
            <w:r>
              <w:rPr>
                <w:rFonts w:hint="eastAsia" w:ascii="Times New Roman" w:hAnsi="Times New Roman" w:eastAsia="宋体" w:cs="宋体"/>
                <w:b/>
                <w:caps w:val="0"/>
                <w:spacing w:val="0"/>
                <w:sz w:val="24"/>
                <w:highlight w:val="none"/>
                <w:lang w:val="en-US" w:eastAsia="zh-CN"/>
              </w:rPr>
              <w:t>1.6</w:t>
            </w:r>
            <w:r>
              <w:rPr>
                <w:rFonts w:hint="eastAsia" w:ascii="Times New Roman" w:hAnsi="Times New Roman" w:eastAsia="宋体" w:cs="宋体"/>
                <w:b/>
                <w:bCs/>
                <w:caps w:val="0"/>
                <w:spacing w:val="0"/>
                <w:sz w:val="24"/>
                <w:highlight w:val="none"/>
              </w:rPr>
              <w:t>大气污染源监测计划</w:t>
            </w:r>
          </w:p>
          <w:p w14:paraId="3201A80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依据《排污单位自行监测技术指南 火力发电及锅炉》</w:t>
            </w:r>
            <w:r>
              <w:rPr>
                <w:rFonts w:hint="eastAsia" w:ascii="Times New Roman" w:hAnsi="Times New Roman" w:eastAsia="宋体" w:cs="宋体"/>
                <w:caps w:val="0"/>
                <w:spacing w:val="0"/>
                <w:sz w:val="24"/>
                <w:highlight w:val="none"/>
                <w:lang w:eastAsia="zh-CN"/>
              </w:rPr>
              <w:t>（</w:t>
            </w:r>
            <w:r>
              <w:rPr>
                <w:rFonts w:hint="eastAsia" w:ascii="Times New Roman" w:hAnsi="Times New Roman" w:eastAsia="宋体" w:cs="宋体"/>
                <w:caps w:val="0"/>
                <w:spacing w:val="0"/>
                <w:sz w:val="24"/>
                <w:highlight w:val="none"/>
              </w:rPr>
              <w:t>HJ820-2017</w:t>
            </w:r>
            <w:r>
              <w:rPr>
                <w:rFonts w:hint="eastAsia" w:ascii="Times New Roman" w:hAnsi="Times New Roman" w:eastAsia="宋体" w:cs="宋体"/>
                <w:caps w:val="0"/>
                <w:spacing w:val="0"/>
                <w:sz w:val="24"/>
                <w:highlight w:val="none"/>
                <w:lang w:eastAsia="zh-CN"/>
              </w:rPr>
              <w:t>）</w:t>
            </w:r>
            <w:r>
              <w:rPr>
                <w:rFonts w:hint="eastAsia" w:ascii="Times New Roman" w:hAnsi="Times New Roman" w:eastAsia="宋体" w:cs="宋体"/>
                <w:caps w:val="0"/>
                <w:spacing w:val="0"/>
                <w:sz w:val="24"/>
                <w:highlight w:val="none"/>
              </w:rPr>
              <w:t>中表1的相关内容，</w:t>
            </w:r>
            <w:r>
              <w:rPr>
                <w:rFonts w:hint="eastAsia" w:ascii="Times New Roman" w:hAnsi="Times New Roman" w:eastAsia="宋体" w:cs="宋体"/>
                <w:caps w:val="0"/>
                <w:spacing w:val="0"/>
                <w:sz w:val="24"/>
                <w:highlight w:val="none"/>
                <w:lang w:eastAsia="zh-CN"/>
              </w:rPr>
              <w:t>及</w:t>
            </w:r>
            <w:r>
              <w:rPr>
                <w:rFonts w:hint="eastAsia" w:ascii="Times New Roman" w:hAnsi="Times New Roman" w:eastAsia="宋体" w:cs="宋体"/>
                <w:caps w:val="0"/>
                <w:spacing w:val="0"/>
                <w:sz w:val="24"/>
                <w:highlight w:val="none"/>
                <w:lang w:val="en-US" w:eastAsia="zh-CN"/>
              </w:rPr>
              <w:t>《排污许可证申请与核发技术规范 锅炉》（HJ953—2018）</w:t>
            </w:r>
            <w:r>
              <w:rPr>
                <w:rFonts w:hint="eastAsia" w:ascii="Times New Roman" w:hAnsi="Times New Roman" w:eastAsia="宋体" w:cs="宋体"/>
                <w:caps w:val="0"/>
                <w:spacing w:val="0"/>
                <w:sz w:val="24"/>
                <w:highlight w:val="none"/>
              </w:rPr>
              <w:t>建议项目运营期大气污染源监测计划如下。</w:t>
            </w:r>
          </w:p>
          <w:p w14:paraId="174D54DD">
            <w:pPr>
              <w:pStyle w:val="5"/>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eastAsia" w:ascii="Times New Roman" w:hAnsi="Times New Roman" w:eastAsia="宋体" w:cs="宋体"/>
                <w:b/>
                <w:bCs/>
                <w:caps w:val="0"/>
                <w:spacing w:val="0"/>
                <w:sz w:val="21"/>
                <w:szCs w:val="21"/>
                <w:highlight w:val="none"/>
                <w:lang w:val="en-US" w:eastAsia="zh-CN"/>
              </w:rPr>
            </w:pPr>
            <w:r>
              <w:rPr>
                <w:rFonts w:hint="eastAsia" w:ascii="Times New Roman" w:hAnsi="Times New Roman" w:eastAsia="宋体" w:cs="宋体"/>
                <w:b/>
                <w:bCs/>
                <w:caps w:val="0"/>
                <w:spacing w:val="0"/>
                <w:sz w:val="21"/>
                <w:szCs w:val="21"/>
                <w:highlight w:val="none"/>
                <w:lang w:val="en-US" w:eastAsia="zh-CN"/>
              </w:rPr>
              <w:t>表4-</w:t>
            </w:r>
            <w:r>
              <w:rPr>
                <w:rFonts w:hint="eastAsia" w:cs="宋体"/>
                <w:b/>
                <w:bCs/>
                <w:caps w:val="0"/>
                <w:spacing w:val="0"/>
                <w:sz w:val="21"/>
                <w:szCs w:val="21"/>
                <w:highlight w:val="none"/>
                <w:lang w:val="en-US" w:eastAsia="zh-CN"/>
              </w:rPr>
              <w:t>7</w:t>
            </w:r>
            <w:r>
              <w:rPr>
                <w:rFonts w:hint="eastAsia" w:ascii="Times New Roman" w:hAnsi="Times New Roman" w:eastAsia="宋体" w:cs="宋体"/>
                <w:b/>
                <w:bCs/>
                <w:caps w:val="0"/>
                <w:spacing w:val="0"/>
                <w:sz w:val="21"/>
                <w:szCs w:val="21"/>
                <w:highlight w:val="none"/>
                <w:lang w:val="en-US" w:eastAsia="zh-CN"/>
              </w:rPr>
              <w:t xml:space="preserve"> 大气污染源监测计划</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8"/>
              <w:gridCol w:w="3839"/>
              <w:gridCol w:w="1570"/>
              <w:gridCol w:w="1081"/>
            </w:tblGrid>
            <w:tr w14:paraId="7B31BC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8" w:type="dxa"/>
                  <w:tcBorders>
                    <w:top w:val="single" w:color="auto" w:sz="12" w:space="0"/>
                  </w:tcBorders>
                  <w:noWrap w:val="0"/>
                  <w:vAlign w:val="center"/>
                </w:tcPr>
                <w:p w14:paraId="30C4F1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000000"/>
                      <w:spacing w:val="0"/>
                      <w:sz w:val="21"/>
                      <w:szCs w:val="21"/>
                      <w:highlight w:val="none"/>
                    </w:rPr>
                  </w:pPr>
                  <w:r>
                    <w:rPr>
                      <w:rFonts w:hint="eastAsia" w:ascii="Times New Roman" w:hAnsi="Times New Roman" w:eastAsia="宋体" w:cs="宋体"/>
                      <w:b/>
                      <w:bCs/>
                      <w:caps w:val="0"/>
                      <w:color w:val="000000"/>
                      <w:spacing w:val="0"/>
                      <w:sz w:val="21"/>
                      <w:szCs w:val="21"/>
                      <w:highlight w:val="none"/>
                    </w:rPr>
                    <w:t>监测点位</w:t>
                  </w:r>
                </w:p>
              </w:tc>
              <w:tc>
                <w:tcPr>
                  <w:tcW w:w="3839" w:type="dxa"/>
                  <w:tcBorders>
                    <w:top w:val="single" w:color="auto" w:sz="12" w:space="0"/>
                  </w:tcBorders>
                  <w:noWrap w:val="0"/>
                  <w:vAlign w:val="center"/>
                </w:tcPr>
                <w:p w14:paraId="165561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000000"/>
                      <w:spacing w:val="0"/>
                      <w:sz w:val="21"/>
                      <w:szCs w:val="21"/>
                      <w:highlight w:val="none"/>
                    </w:rPr>
                  </w:pPr>
                  <w:r>
                    <w:rPr>
                      <w:rFonts w:hint="eastAsia" w:ascii="Times New Roman" w:hAnsi="Times New Roman" w:eastAsia="宋体" w:cs="宋体"/>
                      <w:b/>
                      <w:bCs/>
                      <w:caps w:val="0"/>
                      <w:color w:val="000000"/>
                      <w:spacing w:val="0"/>
                      <w:sz w:val="21"/>
                      <w:szCs w:val="21"/>
                      <w:highlight w:val="none"/>
                    </w:rPr>
                    <w:t>监测指标</w:t>
                  </w:r>
                </w:p>
              </w:tc>
              <w:tc>
                <w:tcPr>
                  <w:tcW w:w="1570" w:type="dxa"/>
                  <w:tcBorders>
                    <w:top w:val="single" w:color="auto" w:sz="12" w:space="0"/>
                  </w:tcBorders>
                  <w:noWrap w:val="0"/>
                  <w:vAlign w:val="center"/>
                </w:tcPr>
                <w:p w14:paraId="4D6249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000000"/>
                      <w:spacing w:val="0"/>
                      <w:sz w:val="21"/>
                      <w:szCs w:val="21"/>
                      <w:highlight w:val="none"/>
                    </w:rPr>
                  </w:pPr>
                  <w:r>
                    <w:rPr>
                      <w:rFonts w:hint="eastAsia" w:ascii="Times New Roman" w:hAnsi="Times New Roman" w:eastAsia="宋体" w:cs="宋体"/>
                      <w:b/>
                      <w:bCs/>
                      <w:caps w:val="0"/>
                      <w:color w:val="000000"/>
                      <w:spacing w:val="0"/>
                      <w:sz w:val="21"/>
                      <w:szCs w:val="21"/>
                      <w:highlight w:val="none"/>
                    </w:rPr>
                    <w:t>最低监测频次</w:t>
                  </w:r>
                </w:p>
              </w:tc>
              <w:tc>
                <w:tcPr>
                  <w:tcW w:w="1081" w:type="dxa"/>
                  <w:tcBorders>
                    <w:top w:val="single" w:color="auto" w:sz="12" w:space="0"/>
                  </w:tcBorders>
                  <w:noWrap w:val="0"/>
                  <w:vAlign w:val="center"/>
                </w:tcPr>
                <w:p w14:paraId="3CD6B8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000000"/>
                      <w:spacing w:val="0"/>
                      <w:sz w:val="21"/>
                      <w:szCs w:val="21"/>
                      <w:highlight w:val="none"/>
                    </w:rPr>
                  </w:pPr>
                  <w:r>
                    <w:rPr>
                      <w:rFonts w:hint="eastAsia" w:ascii="Times New Roman" w:hAnsi="Times New Roman" w:eastAsia="宋体" w:cs="宋体"/>
                      <w:b/>
                      <w:bCs/>
                      <w:caps w:val="0"/>
                      <w:color w:val="000000"/>
                      <w:spacing w:val="0"/>
                      <w:sz w:val="21"/>
                      <w:szCs w:val="21"/>
                      <w:highlight w:val="none"/>
                    </w:rPr>
                    <w:t>监测设施</w:t>
                  </w:r>
                </w:p>
              </w:tc>
            </w:tr>
            <w:tr w14:paraId="0CFA2F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8" w:type="dxa"/>
                  <w:noWrap w:val="0"/>
                  <w:vAlign w:val="center"/>
                </w:tcPr>
                <w:p w14:paraId="41A182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lang w:val="en-US" w:eastAsia="zh-CN"/>
                    </w:rPr>
                  </w:pPr>
                  <w:r>
                    <w:rPr>
                      <w:rFonts w:hint="eastAsia" w:ascii="Times New Roman" w:hAnsi="Times New Roman" w:eastAsia="宋体" w:cs="宋体"/>
                      <w:caps w:val="0"/>
                      <w:color w:val="000000"/>
                      <w:spacing w:val="0"/>
                      <w:sz w:val="21"/>
                      <w:szCs w:val="21"/>
                      <w:highlight w:val="none"/>
                      <w:lang w:val="en-US" w:eastAsia="zh-CN"/>
                    </w:rPr>
                    <w:t>DA003、DA004</w:t>
                  </w:r>
                </w:p>
                <w:p w14:paraId="4D01DB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lang w:val="en-US" w:eastAsia="zh-CN"/>
                    </w:rPr>
                  </w:pPr>
                  <w:r>
                    <w:rPr>
                      <w:rFonts w:hint="eastAsia" w:ascii="Times New Roman" w:hAnsi="Times New Roman" w:eastAsia="宋体" w:cs="宋体"/>
                      <w:caps w:val="0"/>
                      <w:color w:val="000000"/>
                      <w:spacing w:val="0"/>
                      <w:sz w:val="21"/>
                      <w:szCs w:val="21"/>
                      <w:highlight w:val="none"/>
                      <w:lang w:val="en-US" w:eastAsia="zh-CN"/>
                    </w:rPr>
                    <w:t>排气口</w:t>
                  </w:r>
                </w:p>
              </w:tc>
              <w:tc>
                <w:tcPr>
                  <w:tcW w:w="3839" w:type="dxa"/>
                  <w:noWrap w:val="0"/>
                  <w:vAlign w:val="center"/>
                </w:tcPr>
                <w:p w14:paraId="690B5E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lang w:val="en-US" w:eastAsia="zh-CN"/>
                    </w:rPr>
                  </w:pPr>
                  <w:r>
                    <w:rPr>
                      <w:rFonts w:hint="eastAsia" w:ascii="Times New Roman" w:hAnsi="Times New Roman" w:eastAsia="宋体" w:cs="宋体"/>
                      <w:caps w:val="0"/>
                      <w:color w:val="000000"/>
                      <w:spacing w:val="0"/>
                      <w:sz w:val="21"/>
                      <w:szCs w:val="21"/>
                      <w:highlight w:val="none"/>
                    </w:rPr>
                    <w:t>颗粒物</w:t>
                  </w:r>
                  <w:r>
                    <w:rPr>
                      <w:rFonts w:hint="eastAsia" w:ascii="Times New Roman" w:hAnsi="Times New Roman" w:eastAsia="宋体" w:cs="宋体"/>
                      <w:caps w:val="0"/>
                      <w:color w:val="000000"/>
                      <w:spacing w:val="0"/>
                      <w:sz w:val="21"/>
                      <w:szCs w:val="21"/>
                      <w:highlight w:val="none"/>
                      <w:lang w:eastAsia="zh-CN"/>
                    </w:rPr>
                    <w:t>、</w:t>
                  </w:r>
                  <w:r>
                    <w:rPr>
                      <w:rFonts w:hint="eastAsia" w:ascii="Times New Roman" w:hAnsi="Times New Roman" w:eastAsia="宋体" w:cs="宋体"/>
                      <w:caps w:val="0"/>
                      <w:color w:val="000000"/>
                      <w:spacing w:val="0"/>
                      <w:sz w:val="21"/>
                      <w:szCs w:val="21"/>
                      <w:highlight w:val="none"/>
                    </w:rPr>
                    <w:t>二氧化硫</w:t>
                  </w:r>
                  <w:r>
                    <w:rPr>
                      <w:rFonts w:hint="eastAsia" w:ascii="Times New Roman" w:hAnsi="Times New Roman" w:eastAsia="宋体" w:cs="宋体"/>
                      <w:caps w:val="0"/>
                      <w:color w:val="000000"/>
                      <w:spacing w:val="0"/>
                      <w:sz w:val="21"/>
                      <w:szCs w:val="21"/>
                      <w:highlight w:val="none"/>
                      <w:lang w:eastAsia="zh-CN"/>
                    </w:rPr>
                    <w:t>、</w:t>
                  </w:r>
                  <w:r>
                    <w:rPr>
                      <w:rFonts w:hint="eastAsia" w:ascii="Times New Roman" w:hAnsi="Times New Roman" w:eastAsia="宋体" w:cs="宋体"/>
                      <w:caps w:val="0"/>
                      <w:color w:val="000000"/>
                      <w:spacing w:val="0"/>
                      <w:sz w:val="21"/>
                      <w:szCs w:val="21"/>
                      <w:highlight w:val="none"/>
                    </w:rPr>
                    <w:t>氮氧化物</w:t>
                  </w:r>
                  <w:r>
                    <w:rPr>
                      <w:rFonts w:hint="eastAsia" w:ascii="Times New Roman" w:hAnsi="Times New Roman" w:eastAsia="宋体" w:cs="宋体"/>
                      <w:caps w:val="0"/>
                      <w:color w:val="000000"/>
                      <w:spacing w:val="0"/>
                      <w:sz w:val="21"/>
                      <w:szCs w:val="21"/>
                      <w:highlight w:val="none"/>
                      <w:lang w:eastAsia="zh-CN"/>
                    </w:rPr>
                    <w:t>、</w:t>
                  </w:r>
                  <w:r>
                    <w:rPr>
                      <w:rFonts w:hint="eastAsia" w:ascii="Times New Roman" w:hAnsi="Times New Roman" w:eastAsia="宋体" w:cs="宋体"/>
                      <w:caps w:val="0"/>
                      <w:color w:val="000000"/>
                      <w:spacing w:val="0"/>
                      <w:sz w:val="21"/>
                      <w:szCs w:val="21"/>
                      <w:highlight w:val="none"/>
                    </w:rPr>
                    <w:t>林格曼黑度</w:t>
                  </w:r>
                </w:p>
              </w:tc>
              <w:tc>
                <w:tcPr>
                  <w:tcW w:w="1570" w:type="dxa"/>
                  <w:noWrap w:val="0"/>
                  <w:vAlign w:val="center"/>
                </w:tcPr>
                <w:p w14:paraId="2EA6CD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lang w:eastAsia="zh-CN"/>
                    </w:rPr>
                  </w:pPr>
                  <w:r>
                    <w:rPr>
                      <w:rFonts w:hint="eastAsia" w:ascii="Times New Roman" w:hAnsi="Times New Roman" w:eastAsia="宋体" w:cs="宋体"/>
                      <w:caps w:val="0"/>
                      <w:color w:val="000000"/>
                      <w:spacing w:val="0"/>
                      <w:sz w:val="21"/>
                      <w:szCs w:val="21"/>
                      <w:highlight w:val="none"/>
                    </w:rPr>
                    <w:t>1次/</w:t>
                  </w:r>
                  <w:r>
                    <w:rPr>
                      <w:rFonts w:hint="eastAsia" w:ascii="Times New Roman" w:hAnsi="Times New Roman" w:eastAsia="宋体" w:cs="宋体"/>
                      <w:caps w:val="0"/>
                      <w:color w:val="000000"/>
                      <w:spacing w:val="0"/>
                      <w:sz w:val="21"/>
                      <w:szCs w:val="21"/>
                      <w:highlight w:val="none"/>
                      <w:lang w:val="en-US" w:eastAsia="zh-CN"/>
                    </w:rPr>
                    <w:t>月</w:t>
                  </w:r>
                </w:p>
              </w:tc>
              <w:tc>
                <w:tcPr>
                  <w:tcW w:w="1081" w:type="dxa"/>
                  <w:noWrap w:val="0"/>
                  <w:vAlign w:val="center"/>
                </w:tcPr>
                <w:p w14:paraId="47AAB7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rPr>
                  </w:pPr>
                  <w:r>
                    <w:rPr>
                      <w:rFonts w:hint="eastAsia" w:ascii="Times New Roman" w:hAnsi="Times New Roman" w:eastAsia="宋体" w:cs="宋体"/>
                      <w:caps w:val="0"/>
                      <w:color w:val="000000"/>
                      <w:spacing w:val="0"/>
                      <w:sz w:val="21"/>
                      <w:szCs w:val="21"/>
                      <w:highlight w:val="none"/>
                    </w:rPr>
                    <w:t>手工监测</w:t>
                  </w:r>
                </w:p>
              </w:tc>
            </w:tr>
            <w:tr w14:paraId="786DAE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8" w:type="dxa"/>
                  <w:noWrap w:val="0"/>
                  <w:vAlign w:val="center"/>
                </w:tcPr>
                <w:p w14:paraId="646808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lang w:val="en-US" w:eastAsia="zh-CN"/>
                    </w:rPr>
                  </w:pPr>
                  <w:r>
                    <w:rPr>
                      <w:rFonts w:hint="eastAsia" w:ascii="Times New Roman" w:hAnsi="Times New Roman" w:cs="宋体"/>
                      <w:caps w:val="0"/>
                      <w:color w:val="000000"/>
                      <w:spacing w:val="0"/>
                      <w:sz w:val="21"/>
                      <w:szCs w:val="21"/>
                      <w:highlight w:val="none"/>
                      <w:lang w:val="en-US" w:eastAsia="zh-CN"/>
                    </w:rPr>
                    <w:t>燃料储罐周界</w:t>
                  </w:r>
                </w:p>
              </w:tc>
              <w:tc>
                <w:tcPr>
                  <w:tcW w:w="3839" w:type="dxa"/>
                  <w:noWrap w:val="0"/>
                  <w:vAlign w:val="center"/>
                </w:tcPr>
                <w:p w14:paraId="6B4EE5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lang w:val="en-US" w:eastAsia="zh-CN"/>
                    </w:rPr>
                  </w:pPr>
                  <w:r>
                    <w:rPr>
                      <w:rFonts w:hint="eastAsia" w:ascii="Times New Roman" w:hAnsi="Times New Roman" w:cs="宋体"/>
                      <w:caps w:val="0"/>
                      <w:color w:val="000000"/>
                      <w:spacing w:val="0"/>
                      <w:sz w:val="21"/>
                      <w:szCs w:val="21"/>
                      <w:highlight w:val="none"/>
                      <w:lang w:val="en-US" w:eastAsia="zh-CN"/>
                    </w:rPr>
                    <w:t>非甲烷总烃</w:t>
                  </w:r>
                </w:p>
              </w:tc>
              <w:tc>
                <w:tcPr>
                  <w:tcW w:w="1570" w:type="dxa"/>
                  <w:noWrap w:val="0"/>
                  <w:vAlign w:val="center"/>
                </w:tcPr>
                <w:p w14:paraId="2BF24E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lang w:val="en-US" w:eastAsia="zh-CN"/>
                    </w:rPr>
                  </w:pPr>
                  <w:r>
                    <w:rPr>
                      <w:rFonts w:hint="eastAsia" w:ascii="Times New Roman" w:hAnsi="Times New Roman" w:cs="宋体"/>
                      <w:caps w:val="0"/>
                      <w:color w:val="000000"/>
                      <w:spacing w:val="0"/>
                      <w:sz w:val="21"/>
                      <w:szCs w:val="21"/>
                      <w:highlight w:val="none"/>
                      <w:lang w:val="en-US" w:eastAsia="zh-CN"/>
                    </w:rPr>
                    <w:t>1次/季度</w:t>
                  </w:r>
                </w:p>
              </w:tc>
              <w:tc>
                <w:tcPr>
                  <w:tcW w:w="1081" w:type="dxa"/>
                  <w:noWrap w:val="0"/>
                  <w:vAlign w:val="center"/>
                </w:tcPr>
                <w:p w14:paraId="2FF23A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rPr>
                  </w:pPr>
                  <w:r>
                    <w:rPr>
                      <w:rFonts w:hint="eastAsia" w:ascii="Times New Roman" w:hAnsi="Times New Roman" w:eastAsia="宋体" w:cs="宋体"/>
                      <w:caps w:val="0"/>
                      <w:color w:val="000000"/>
                      <w:spacing w:val="0"/>
                      <w:sz w:val="21"/>
                      <w:szCs w:val="21"/>
                      <w:highlight w:val="none"/>
                    </w:rPr>
                    <w:t>手工监测</w:t>
                  </w:r>
                </w:p>
              </w:tc>
            </w:tr>
            <w:tr w14:paraId="6EEE75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8" w:type="dxa"/>
                  <w:noWrap w:val="0"/>
                  <w:vAlign w:val="center"/>
                </w:tcPr>
                <w:p w14:paraId="18975B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lang w:val="en-US" w:eastAsia="zh-CN"/>
                    </w:rPr>
                  </w:pPr>
                  <w:r>
                    <w:rPr>
                      <w:rFonts w:hint="eastAsia" w:ascii="Times New Roman" w:hAnsi="Times New Roman" w:cs="宋体"/>
                      <w:caps w:val="0"/>
                      <w:color w:val="000000"/>
                      <w:spacing w:val="0"/>
                      <w:sz w:val="21"/>
                      <w:szCs w:val="21"/>
                      <w:highlight w:val="none"/>
                      <w:lang w:val="en-US" w:eastAsia="zh-CN"/>
                    </w:rPr>
                    <w:t>厂界</w:t>
                  </w:r>
                </w:p>
              </w:tc>
              <w:tc>
                <w:tcPr>
                  <w:tcW w:w="3839" w:type="dxa"/>
                  <w:noWrap w:val="0"/>
                  <w:vAlign w:val="center"/>
                </w:tcPr>
                <w:p w14:paraId="10F025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000000"/>
                      <w:spacing w:val="0"/>
                      <w:sz w:val="21"/>
                      <w:szCs w:val="21"/>
                      <w:highlight w:val="none"/>
                      <w:lang w:val="en-US" w:eastAsia="zh-CN"/>
                    </w:rPr>
                  </w:pPr>
                  <w:r>
                    <w:rPr>
                      <w:rFonts w:hint="eastAsia" w:ascii="Times New Roman" w:hAnsi="Times New Roman" w:cs="宋体"/>
                      <w:caps w:val="0"/>
                      <w:color w:val="000000"/>
                      <w:spacing w:val="0"/>
                      <w:sz w:val="21"/>
                      <w:szCs w:val="21"/>
                      <w:highlight w:val="none"/>
                      <w:lang w:val="en-US" w:eastAsia="zh-CN"/>
                    </w:rPr>
                    <w:t>非甲烷总烃</w:t>
                  </w:r>
                </w:p>
              </w:tc>
              <w:tc>
                <w:tcPr>
                  <w:tcW w:w="1570" w:type="dxa"/>
                  <w:noWrap w:val="0"/>
                  <w:vAlign w:val="center"/>
                </w:tcPr>
                <w:p w14:paraId="1950E3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rPr>
                  </w:pPr>
                  <w:r>
                    <w:rPr>
                      <w:rFonts w:hint="eastAsia" w:ascii="Times New Roman" w:hAnsi="Times New Roman" w:cs="宋体"/>
                      <w:caps w:val="0"/>
                      <w:color w:val="000000"/>
                      <w:spacing w:val="0"/>
                      <w:sz w:val="21"/>
                      <w:szCs w:val="21"/>
                      <w:highlight w:val="none"/>
                      <w:lang w:val="en-US" w:eastAsia="zh-CN"/>
                    </w:rPr>
                    <w:t>1次/季度</w:t>
                  </w:r>
                </w:p>
              </w:tc>
              <w:tc>
                <w:tcPr>
                  <w:tcW w:w="1081" w:type="dxa"/>
                  <w:noWrap w:val="0"/>
                  <w:vAlign w:val="center"/>
                </w:tcPr>
                <w:p w14:paraId="1AFF78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000000"/>
                      <w:spacing w:val="0"/>
                      <w:sz w:val="21"/>
                      <w:szCs w:val="21"/>
                      <w:highlight w:val="none"/>
                    </w:rPr>
                  </w:pPr>
                  <w:r>
                    <w:rPr>
                      <w:rFonts w:hint="eastAsia" w:ascii="Times New Roman" w:hAnsi="Times New Roman" w:eastAsia="宋体" w:cs="宋体"/>
                      <w:caps w:val="0"/>
                      <w:color w:val="000000"/>
                      <w:spacing w:val="0"/>
                      <w:sz w:val="21"/>
                      <w:szCs w:val="21"/>
                      <w:highlight w:val="none"/>
                    </w:rPr>
                    <w:t>手工监测</w:t>
                  </w:r>
                </w:p>
              </w:tc>
            </w:tr>
          </w:tbl>
          <w:p w14:paraId="47370F6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color w:val="auto"/>
                <w:spacing w:val="0"/>
                <w:sz w:val="24"/>
                <w:highlight w:val="none"/>
                <w:lang w:val="en-US" w:eastAsia="zh-CN"/>
              </w:rPr>
            </w:pPr>
            <w:r>
              <w:rPr>
                <w:rFonts w:hint="eastAsia" w:ascii="宋体" w:hAnsi="宋体" w:eastAsia="宋体" w:cs="宋体"/>
                <w:b/>
                <w:color w:val="auto"/>
                <w:spacing w:val="0"/>
                <w:sz w:val="24"/>
                <w:highlight w:val="none"/>
                <w:lang w:val="en-US" w:eastAsia="zh-CN"/>
              </w:rPr>
              <w:t>1.</w:t>
            </w:r>
            <w:r>
              <w:rPr>
                <w:rFonts w:hint="eastAsia" w:cs="宋体"/>
                <w:b/>
                <w:color w:val="auto"/>
                <w:spacing w:val="0"/>
                <w:sz w:val="24"/>
                <w:highlight w:val="none"/>
                <w:lang w:val="en-US" w:eastAsia="zh-CN"/>
              </w:rPr>
              <w:t>7</w:t>
            </w:r>
            <w:r>
              <w:rPr>
                <w:rFonts w:hint="eastAsia" w:ascii="宋体" w:hAnsi="宋体" w:eastAsia="宋体" w:cs="宋体"/>
                <w:b/>
                <w:color w:val="auto"/>
                <w:spacing w:val="0"/>
                <w:sz w:val="24"/>
                <w:highlight w:val="none"/>
                <w:lang w:val="en-US" w:eastAsia="zh-CN"/>
              </w:rPr>
              <w:t>废气排放环境影响分析</w:t>
            </w:r>
          </w:p>
          <w:p w14:paraId="68F6AE8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color w:val="auto"/>
                <w:spacing w:val="0"/>
                <w:sz w:val="24"/>
                <w:highlight w:val="none"/>
                <w:lang w:val="en-US" w:eastAsia="zh-CN"/>
              </w:rPr>
            </w:pPr>
            <w:r>
              <w:rPr>
                <w:rFonts w:hint="eastAsia" w:ascii="宋体" w:hAnsi="宋体" w:eastAsia="宋体" w:cs="宋体"/>
                <w:color w:val="auto"/>
                <w:spacing w:val="0"/>
                <w:sz w:val="24"/>
                <w:highlight w:val="none"/>
                <w:lang w:val="en-US" w:eastAsia="zh-CN"/>
              </w:rPr>
              <w:t>本项目</w:t>
            </w:r>
            <w:r>
              <w:rPr>
                <w:rFonts w:hint="eastAsia" w:cs="宋体"/>
                <w:color w:val="auto"/>
                <w:spacing w:val="0"/>
                <w:sz w:val="24"/>
                <w:highlight w:val="none"/>
                <w:lang w:val="en-US" w:eastAsia="zh-CN"/>
              </w:rPr>
              <w:t>燃油</w:t>
            </w:r>
            <w:r>
              <w:rPr>
                <w:rFonts w:hint="eastAsia" w:cs="宋体"/>
                <w:color w:val="auto"/>
                <w:spacing w:val="0"/>
                <w:sz w:val="24"/>
                <w:highlight w:val="none"/>
                <w:lang w:val="en-US" w:eastAsia="zh-CN"/>
              </w:rPr>
              <w:t>导热油炉</w:t>
            </w:r>
            <w:r>
              <w:rPr>
                <w:rFonts w:hint="eastAsia" w:ascii="宋体" w:hAnsi="宋体" w:eastAsia="宋体" w:cs="宋体"/>
                <w:color w:val="auto"/>
                <w:spacing w:val="0"/>
                <w:sz w:val="24"/>
                <w:highlight w:val="none"/>
                <w:lang w:val="en-US" w:eastAsia="zh-CN"/>
              </w:rPr>
              <w:t>产生的主要污染物为颗粒物、二氧化硫、氮氧化物</w:t>
            </w:r>
            <w:r>
              <w:rPr>
                <w:rFonts w:hint="eastAsia" w:cs="宋体"/>
                <w:color w:val="auto"/>
                <w:spacing w:val="0"/>
                <w:sz w:val="24"/>
                <w:highlight w:val="none"/>
                <w:lang w:val="en-US" w:eastAsia="zh-CN"/>
              </w:rPr>
              <w:t>以及燃料储罐产生的大、小呼吸废气。</w:t>
            </w:r>
            <w:r>
              <w:rPr>
                <w:rFonts w:hint="eastAsia" w:ascii="宋体" w:hAnsi="宋体" w:eastAsia="宋体" w:cs="宋体"/>
                <w:color w:val="auto"/>
                <w:spacing w:val="0"/>
                <w:sz w:val="24"/>
                <w:highlight w:val="none"/>
                <w:lang w:val="en-US" w:eastAsia="zh-CN"/>
              </w:rPr>
              <w:t>产生的废气经</w:t>
            </w:r>
            <w:r>
              <w:rPr>
                <w:rFonts w:hint="eastAsia" w:cs="宋体"/>
                <w:color w:val="auto"/>
                <w:spacing w:val="0"/>
                <w:sz w:val="24"/>
                <w:highlight w:val="none"/>
                <w:lang w:val="en-US" w:eastAsia="zh-CN"/>
              </w:rPr>
              <w:t>“</w:t>
            </w:r>
            <w:r>
              <w:rPr>
                <w:rFonts w:hint="eastAsia" w:ascii="宋体" w:hAnsi="宋体" w:eastAsia="宋体" w:cs="宋体"/>
                <w:color w:val="auto"/>
                <w:spacing w:val="0"/>
                <w:sz w:val="24"/>
                <w:highlight w:val="none"/>
                <w:lang w:val="en-US" w:eastAsia="zh-CN"/>
              </w:rPr>
              <w:t>低氮燃烧+布袋除尘器</w:t>
            </w:r>
            <w:r>
              <w:rPr>
                <w:rFonts w:hint="eastAsia" w:cs="宋体"/>
                <w:color w:val="auto"/>
                <w:spacing w:val="0"/>
                <w:sz w:val="24"/>
                <w:highlight w:val="none"/>
                <w:lang w:val="en-US" w:eastAsia="zh-CN"/>
              </w:rPr>
              <w:t>”</w:t>
            </w:r>
            <w:r>
              <w:rPr>
                <w:rFonts w:hint="eastAsia" w:ascii="宋体" w:hAnsi="宋体" w:eastAsia="宋体" w:cs="宋体"/>
                <w:color w:val="auto"/>
                <w:spacing w:val="0"/>
                <w:sz w:val="24"/>
                <w:highlight w:val="none"/>
                <w:lang w:val="en-US" w:eastAsia="zh-CN"/>
              </w:rPr>
              <w:t>净化处理后通过</w:t>
            </w:r>
            <w:r>
              <w:rPr>
                <w:rFonts w:hint="eastAsia" w:cs="宋体"/>
                <w:color w:val="auto"/>
                <w:spacing w:val="0"/>
                <w:sz w:val="24"/>
                <w:highlight w:val="none"/>
                <w:lang w:val="en-US" w:eastAsia="zh-CN"/>
              </w:rPr>
              <w:t>2</w:t>
            </w:r>
            <w:r>
              <w:rPr>
                <w:rFonts w:hint="eastAsia" w:ascii="宋体" w:hAnsi="宋体" w:eastAsia="宋体" w:cs="宋体"/>
                <w:color w:val="auto"/>
                <w:spacing w:val="0"/>
                <w:sz w:val="24"/>
                <w:highlight w:val="none"/>
                <w:lang w:val="en-US" w:eastAsia="zh-CN"/>
              </w:rPr>
              <w:t>根</w:t>
            </w:r>
            <w:r>
              <w:rPr>
                <w:rFonts w:hint="eastAsia" w:cs="宋体"/>
                <w:color w:val="auto"/>
                <w:spacing w:val="0"/>
                <w:sz w:val="24"/>
                <w:highlight w:val="none"/>
                <w:lang w:val="en-US" w:eastAsia="zh-CN"/>
              </w:rPr>
              <w:t>20</w:t>
            </w:r>
            <w:r>
              <w:rPr>
                <w:rFonts w:hint="eastAsia" w:ascii="宋体" w:hAnsi="宋体" w:eastAsia="宋体" w:cs="宋体"/>
                <w:color w:val="auto"/>
                <w:spacing w:val="0"/>
                <w:sz w:val="24"/>
                <w:highlight w:val="none"/>
                <w:lang w:val="en-US" w:eastAsia="zh-CN"/>
              </w:rPr>
              <w:t>m高排气筒DA0</w:t>
            </w:r>
            <w:r>
              <w:rPr>
                <w:rFonts w:hint="eastAsia" w:cs="宋体"/>
                <w:color w:val="auto"/>
                <w:spacing w:val="0"/>
                <w:sz w:val="24"/>
                <w:highlight w:val="none"/>
                <w:lang w:val="en-US" w:eastAsia="zh-CN"/>
              </w:rPr>
              <w:t>03、DA004</w:t>
            </w:r>
            <w:r>
              <w:rPr>
                <w:rFonts w:hint="eastAsia" w:ascii="宋体" w:hAnsi="宋体" w:eastAsia="宋体" w:cs="宋体"/>
                <w:color w:val="auto"/>
                <w:spacing w:val="0"/>
                <w:sz w:val="24"/>
                <w:highlight w:val="none"/>
                <w:lang w:val="en-US" w:eastAsia="zh-CN"/>
              </w:rPr>
              <w:t>有组织排放，颗粒物、二氧化硫、氮氧化物的排放浓度均能满足《锅炉大气污染物排放标准》（GB13271-2014）表2</w:t>
            </w:r>
            <w:r>
              <w:rPr>
                <w:rFonts w:hint="eastAsia" w:cs="宋体"/>
                <w:color w:val="auto"/>
                <w:spacing w:val="0"/>
                <w:sz w:val="24"/>
                <w:highlight w:val="none"/>
                <w:lang w:val="en-US" w:eastAsia="zh-CN"/>
              </w:rPr>
              <w:t>燃油锅炉</w:t>
            </w:r>
            <w:r>
              <w:rPr>
                <w:rFonts w:hint="eastAsia" w:ascii="宋体" w:hAnsi="宋体" w:eastAsia="宋体" w:cs="宋体"/>
                <w:color w:val="auto"/>
                <w:spacing w:val="0"/>
                <w:sz w:val="24"/>
                <w:highlight w:val="none"/>
                <w:lang w:val="en-US" w:eastAsia="zh-CN"/>
              </w:rPr>
              <w:t>排放浓度限值要求</w:t>
            </w:r>
            <w:r>
              <w:rPr>
                <w:rFonts w:hint="eastAsia" w:cs="宋体"/>
                <w:color w:val="auto"/>
                <w:spacing w:val="0"/>
                <w:sz w:val="24"/>
                <w:highlight w:val="none"/>
                <w:lang w:val="en-US" w:eastAsia="zh-CN"/>
              </w:rPr>
              <w:t>；</w:t>
            </w:r>
            <w:r>
              <w:rPr>
                <w:rFonts w:hint="eastAsia" w:cs="宋体"/>
                <w:color w:val="auto"/>
                <w:spacing w:val="0"/>
                <w:sz w:val="24"/>
                <w:highlight w:val="none"/>
                <w:lang w:val="en-US" w:eastAsia="zh-CN"/>
              </w:rPr>
              <w:t>燃料储罐产生的大、小呼吸废气经呼吸口无组织排放，本项目年用轻质柴油用量较小，产生的无组织非甲烷总烃较小，不会对大气环境造成影响。</w:t>
            </w:r>
          </w:p>
          <w:p w14:paraId="7F8B890B">
            <w:pPr>
              <w:pStyle w:val="4"/>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eastAsia" w:ascii="Times New Roman" w:hAnsi="Times New Roman" w:eastAsia="宋体" w:cs="宋体"/>
                <w:caps w:val="0"/>
                <w:spacing w:val="0"/>
                <w:highlight w:val="none"/>
                <w:lang w:val="en-US" w:eastAsia="zh-CN"/>
              </w:rPr>
            </w:pPr>
            <w:r>
              <w:rPr>
                <w:rFonts w:hint="eastAsia" w:ascii="宋体" w:hAnsi="宋体" w:eastAsia="宋体" w:cs="宋体"/>
                <w:color w:val="auto"/>
                <w:spacing w:val="0"/>
                <w:sz w:val="24"/>
                <w:highlight w:val="none"/>
                <w:lang w:val="en-US" w:eastAsia="zh-CN"/>
              </w:rPr>
              <w:t>本项目位于周边环境保护目标数量较少，预计建成后不会对周边环境产生明显不利影响，综上，本项目大气环境影响可接受。</w:t>
            </w:r>
          </w:p>
          <w:p w14:paraId="076603BD">
            <w:pPr>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2.废水</w:t>
            </w:r>
          </w:p>
          <w:p w14:paraId="08DBC2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b w:val="0"/>
                <w:bCs w:val="0"/>
                <w:caps w:val="0"/>
                <w:spacing w:val="0"/>
                <w:sz w:val="24"/>
                <w:szCs w:val="24"/>
                <w:highlight w:val="none"/>
                <w:lang w:val="en-US" w:eastAsia="zh-CN"/>
              </w:rPr>
              <w:t>本项目不新增废水排放。</w:t>
            </w:r>
          </w:p>
        </w:tc>
      </w:tr>
      <w:tr w14:paraId="344E4E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60" w:type="dxa"/>
          <w:trHeight w:val="13564" w:hRule="atLeast"/>
          <w:jc w:val="center"/>
        </w:trPr>
        <w:tc>
          <w:tcPr>
            <w:tcW w:w="404" w:type="dxa"/>
            <w:noWrap w:val="0"/>
            <w:tcMar>
              <w:left w:w="28" w:type="dxa"/>
              <w:right w:w="28" w:type="dxa"/>
            </w:tcMar>
            <w:vAlign w:val="center"/>
          </w:tcPr>
          <w:p w14:paraId="19639FFC">
            <w:pPr>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8033" w:type="dxa"/>
            <w:gridSpan w:val="2"/>
            <w:tcBorders>
              <w:top w:val="single" w:color="auto" w:sz="4" w:space="0"/>
              <w:bottom w:val="single" w:color="auto" w:sz="4" w:space="0"/>
            </w:tcBorders>
            <w:noWrap w:val="0"/>
            <w:vAlign w:val="center"/>
          </w:tcPr>
          <w:p w14:paraId="209BE45B">
            <w:pPr>
              <w:ind w:left="0" w:leftChars="0" w:firstLine="0" w:firstLineChars="0"/>
              <w:rPr>
                <w:rFonts w:hint="eastAsia" w:ascii="Times New Roman" w:hAnsi="Times New Roman" w:eastAsia="宋体" w:cs="宋体"/>
                <w:b/>
                <w:bCs w:val="0"/>
                <w:caps w:val="0"/>
                <w:spacing w:val="0"/>
                <w:sz w:val="28"/>
                <w:szCs w:val="28"/>
                <w:highlight w:val="none"/>
                <w:lang w:val="en-US" w:eastAsia="zh-CN"/>
              </w:rPr>
            </w:pPr>
            <w:r>
              <w:rPr>
                <w:rFonts w:hint="eastAsia" w:ascii="Times New Roman" w:hAnsi="Times New Roman" w:eastAsia="宋体" w:cs="宋体"/>
                <w:b/>
                <w:bCs w:val="0"/>
                <w:caps w:val="0"/>
                <w:spacing w:val="0"/>
                <w:sz w:val="28"/>
                <w:szCs w:val="28"/>
                <w:highlight w:val="none"/>
                <w:lang w:val="en-US" w:eastAsia="zh-CN"/>
              </w:rPr>
              <w:t>3.噪声</w:t>
            </w:r>
          </w:p>
          <w:p w14:paraId="46DD206E">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b w:val="0"/>
                <w:bCs/>
                <w:caps w:val="0"/>
                <w:spacing w:val="0"/>
                <w:highlight w:val="none"/>
                <w:lang w:val="en-US" w:eastAsia="zh-CN"/>
              </w:rPr>
            </w:pPr>
            <w:r>
              <w:rPr>
                <w:rFonts w:hint="eastAsia" w:ascii="Times New Roman" w:hAnsi="Times New Roman" w:eastAsia="宋体" w:cs="宋体"/>
                <w:b w:val="0"/>
                <w:bCs/>
                <w:caps w:val="0"/>
                <w:spacing w:val="0"/>
                <w:highlight w:val="none"/>
                <w:lang w:val="en-US" w:eastAsia="zh-CN"/>
              </w:rPr>
              <w:t>根据《环境影响评价技术导则声环境》（HJ2.4-2021），由于厂界周边50m范围内没有声环境保护敏感目标，故仅进行噪声厂界达标分析。</w:t>
            </w:r>
          </w:p>
          <w:p w14:paraId="1690E731">
            <w:pPr>
              <w:pStyle w:val="5"/>
              <w:keepNext w:val="0"/>
              <w:keepLines w:val="0"/>
              <w:pageBreakBefore w:val="0"/>
              <w:widowControl/>
              <w:kinsoku/>
              <w:wordWrap/>
              <w:overflowPunct/>
              <w:topLinePunct w:val="0"/>
              <w:autoSpaceDE/>
              <w:autoSpaceDN/>
              <w:bidi w:val="0"/>
              <w:adjustRightInd w:val="0"/>
              <w:snapToGrid w:val="0"/>
              <w:spacing w:before="0" w:after="0" w:line="360" w:lineRule="auto"/>
              <w:ind w:left="0" w:leftChars="0" w:right="0" w:firstLine="482" w:firstLineChars="200"/>
              <w:textAlignment w:val="auto"/>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3.1 噪声预测方法</w:t>
            </w:r>
          </w:p>
          <w:p w14:paraId="6A26246D">
            <w:pPr>
              <w:pStyle w:val="47"/>
              <w:rPr>
                <w:rFonts w:hint="eastAsia" w:ascii="Times New Roman" w:hAnsi="Times New Roman" w:eastAsia="宋体" w:cs="宋体"/>
                <w:b w:val="0"/>
                <w:bCs/>
                <w:caps w:val="0"/>
                <w:spacing w:val="0"/>
                <w:highlight w:val="none"/>
                <w:lang w:val="en-US" w:eastAsia="zh-CN"/>
              </w:rPr>
            </w:pPr>
            <w:r>
              <w:rPr>
                <w:rFonts w:hint="eastAsia" w:ascii="Times New Roman" w:hAnsi="Times New Roman" w:eastAsia="宋体" w:cs="宋体"/>
                <w:b w:val="0"/>
                <w:bCs/>
                <w:caps w:val="0"/>
                <w:spacing w:val="0"/>
                <w:highlight w:val="none"/>
                <w:lang w:val="en-US" w:eastAsia="zh-CN"/>
              </w:rPr>
              <w:t>本评价采用《环境影响评价技术导则 声环境》（HJ2.4-2021）中的噪声距离衰减和叠加模式进行预测，具体预测公式如下：</w:t>
            </w:r>
          </w:p>
          <w:p w14:paraId="057B647F">
            <w:pPr>
              <w:pStyle w:val="48"/>
              <w:keepNext w:val="0"/>
              <w:keepLines w:val="0"/>
              <w:pageBreakBefore w:val="0"/>
              <w:widowControl w:val="0"/>
              <w:numPr>
                <w:ilvl w:val="0"/>
                <w:numId w:val="8"/>
              </w:numPr>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噪声距离衰减公式：</w:t>
            </w:r>
          </w:p>
          <w:p w14:paraId="7F0D0E74">
            <w:pPr>
              <w:pStyle w:val="48"/>
              <w:keepNext w:val="0"/>
              <w:keepLines w:val="0"/>
              <w:pageBreakBefore w:val="0"/>
              <w:widowControl w:val="0"/>
              <w:numPr>
                <w:ilvl w:val="0"/>
                <w:numId w:val="0"/>
              </w:numPr>
              <w:kinsoku/>
              <w:wordWrap/>
              <w:overflowPunct/>
              <w:topLinePunct w:val="0"/>
              <w:autoSpaceDE/>
              <w:autoSpaceDN/>
              <w:bidi w:val="0"/>
              <w:adjustRightInd w:val="0"/>
              <w:snapToGrid w:val="0"/>
              <w:ind w:left="2400" w:leftChars="1000"/>
              <w:textAlignment w:val="auto"/>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LP</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r</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=LP(r0)-20lg(r/r0)-a(r-r0)</w:t>
            </w:r>
          </w:p>
          <w:p w14:paraId="3FD6B7AD">
            <w:pPr>
              <w:pStyle w:val="48"/>
              <w:keepNext w:val="0"/>
              <w:keepLines w:val="0"/>
              <w:pageBreakBefore w:val="0"/>
              <w:widowControl w:val="0"/>
              <w:numPr>
                <w:ilvl w:val="0"/>
                <w:numId w:val="0"/>
              </w:numPr>
              <w:kinsoku/>
              <w:wordWrap/>
              <w:overflowPunct/>
              <w:topLinePunct w:val="0"/>
              <w:autoSpaceDE/>
              <w:autoSpaceDN/>
              <w:bidi w:val="0"/>
              <w:adjustRightInd w:val="0"/>
              <w:snapToGrid w:val="0"/>
              <w:textAlignment w:val="auto"/>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式中</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LP（r）—预测点所接受的声压级，dB(A</w:t>
            </w:r>
            <w:r>
              <w:rPr>
                <w:rFonts w:hint="eastAsia" w:ascii="Times New Roman" w:hAnsi="Times New Roman"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w:t>
            </w:r>
          </w:p>
          <w:p w14:paraId="4D5261EC">
            <w:pPr>
              <w:pStyle w:val="48"/>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LP(r0)—参考位置r0的声压级，dB(A</w:t>
            </w:r>
            <w:r>
              <w:rPr>
                <w:rFonts w:hint="eastAsia" w:ascii="Times New Roman" w:hAnsi="Times New Roman"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w:t>
            </w:r>
          </w:p>
          <w:p w14:paraId="1B602A50">
            <w:pPr>
              <w:pStyle w:val="48"/>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r—预测点至声源的距离，m；</w:t>
            </w:r>
          </w:p>
          <w:p w14:paraId="5E3369B9">
            <w:pPr>
              <w:pStyle w:val="48"/>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r0—参考位置距声源的距离；</w:t>
            </w:r>
          </w:p>
          <w:p w14:paraId="53C57F34">
            <w:pPr>
              <w:pStyle w:val="48"/>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eastAsia" w:ascii="Times New Roman" w:hAnsi="Times New Roman" w:eastAsia="宋体" w:cs="宋体"/>
                <w:b/>
                <w:bCs w:val="0"/>
                <w:caps w:val="0"/>
                <w:spacing w:val="0"/>
                <w:highlight w:val="none"/>
                <w:lang w:val="en-US" w:eastAsia="zh-CN"/>
              </w:rPr>
            </w:pPr>
            <w:r>
              <w:rPr>
                <w:rFonts w:hint="eastAsia" w:ascii="Times New Roman" w:hAnsi="Times New Roman" w:eastAsia="宋体" w:cs="宋体"/>
                <w:caps w:val="0"/>
                <w:spacing w:val="0"/>
                <w:sz w:val="24"/>
                <w:szCs w:val="24"/>
                <w:highlight w:val="none"/>
              </w:rPr>
              <w:t>a—大气对声波的吸收系数，dB(A)/m，平均值为0</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008dB(A)/m；</w:t>
            </w:r>
          </w:p>
          <w:p w14:paraId="5D40EBE8">
            <w:pPr>
              <w:keepNext w:val="0"/>
              <w:keepLines w:val="0"/>
              <w:pageBreakBefore w:val="0"/>
              <w:widowControl w:val="0"/>
              <w:numPr>
                <w:ilvl w:val="0"/>
                <w:numId w:val="8"/>
              </w:numPr>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caps w:val="0"/>
                <w:spacing w:val="0"/>
                <w:highlight w:val="none"/>
                <w:lang w:val="en-US" w:eastAsia="zh-CN"/>
              </w:rPr>
            </w:pPr>
            <w:r>
              <w:rPr>
                <w:rFonts w:hint="eastAsia" w:ascii="Times New Roman" w:hAnsi="Times New Roman" w:eastAsia="宋体" w:cs="宋体"/>
                <w:caps w:val="0"/>
                <w:spacing w:val="0"/>
                <w:highlight w:val="none"/>
                <w:lang w:val="en-US" w:eastAsia="zh-CN"/>
              </w:rPr>
              <w:t>噪声叠加模式：</w:t>
            </w:r>
          </w:p>
          <w:p w14:paraId="4C56F9F7">
            <w:pPr>
              <w:pStyle w:val="5"/>
              <w:numPr>
                <w:ilvl w:val="0"/>
                <w:numId w:val="0"/>
              </w:numPr>
              <w:ind w:leftChars="200" w:right="113" w:rightChars="0"/>
              <w:jc w:val="center"/>
              <w:rPr>
                <w:rFonts w:hint="eastAsia" w:ascii="Times New Roman" w:hAnsi="Times New Roman" w:eastAsia="宋体" w:cs="宋体"/>
                <w:caps w:val="0"/>
                <w:spacing w:val="0"/>
                <w:highlight w:val="none"/>
              </w:rPr>
            </w:pPr>
            <w:r>
              <w:rPr>
                <w:rFonts w:hint="eastAsia" w:ascii="Times New Roman" w:hAnsi="Times New Roman" w:eastAsia="宋体" w:cs="宋体"/>
                <w:caps w:val="0"/>
                <w:spacing w:val="0"/>
                <w:highlight w:val="none"/>
              </w:rPr>
              <w:drawing>
                <wp:inline distT="0" distB="0" distL="114300" distR="114300">
                  <wp:extent cx="1676400" cy="628650"/>
                  <wp:effectExtent l="0" t="0" r="0" b="0"/>
                  <wp:docPr id="21"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55"/>
                          <pic:cNvPicPr>
                            <a:picLocks noChangeAspect="1"/>
                          </pic:cNvPicPr>
                        </pic:nvPicPr>
                        <pic:blipFill>
                          <a:blip r:embed="rId37"/>
                          <a:srcRect l="25424"/>
                          <a:stretch>
                            <a:fillRect/>
                          </a:stretch>
                        </pic:blipFill>
                        <pic:spPr>
                          <a:xfrm>
                            <a:off x="0" y="0"/>
                            <a:ext cx="1676400" cy="628650"/>
                          </a:xfrm>
                          <a:prstGeom prst="rect">
                            <a:avLst/>
                          </a:prstGeom>
                          <a:noFill/>
                          <a:ln>
                            <a:noFill/>
                          </a:ln>
                        </pic:spPr>
                      </pic:pic>
                    </a:graphicData>
                  </a:graphic>
                </wp:inline>
              </w:drawing>
            </w:r>
          </w:p>
          <w:p w14:paraId="7CE0F193">
            <w:pPr>
              <w:pStyle w:val="47"/>
              <w:ind w:left="0" w:leftChars="0" w:firstLine="0" w:firstLineChars="0"/>
              <w:rPr>
                <w:rFonts w:hint="eastAsia" w:ascii="Times New Roman" w:hAnsi="Times New Roman" w:eastAsia="宋体" w:cs="宋体"/>
                <w:caps w:val="0"/>
                <w:spacing w:val="0"/>
                <w:highlight w:val="none"/>
                <w:lang w:val="en-US" w:eastAsia="zh-CN"/>
              </w:rPr>
            </w:pPr>
            <w:r>
              <w:rPr>
                <w:rFonts w:hint="eastAsia" w:ascii="Times New Roman" w:hAnsi="Times New Roman" w:eastAsia="宋体" w:cs="宋体"/>
                <w:caps w:val="0"/>
                <w:spacing w:val="0"/>
                <w:highlight w:val="none"/>
                <w:lang w:val="en-US" w:eastAsia="zh-CN"/>
              </w:rPr>
              <w:t>式中：L－为n个噪声源的声级，dB（A）；</w:t>
            </w:r>
          </w:p>
          <w:p w14:paraId="2E365C5E">
            <w:pPr>
              <w:pStyle w:val="47"/>
              <w:keepNext w:val="0"/>
              <w:keepLines w:val="0"/>
              <w:pageBreakBefore w:val="0"/>
              <w:kinsoku/>
              <w:wordWrap/>
              <w:overflowPunct/>
              <w:topLinePunct w:val="0"/>
              <w:autoSpaceDE/>
              <w:autoSpaceDN/>
              <w:bidi w:val="0"/>
              <w:adjustRightInd w:val="0"/>
              <w:snapToGrid w:val="0"/>
              <w:ind w:firstLine="720" w:firstLineChars="300"/>
              <w:textAlignment w:val="auto"/>
              <w:rPr>
                <w:rFonts w:hint="eastAsia" w:ascii="Times New Roman" w:hAnsi="Times New Roman" w:eastAsia="宋体" w:cs="宋体"/>
                <w:caps w:val="0"/>
                <w:spacing w:val="0"/>
                <w:highlight w:val="none"/>
                <w:lang w:val="en-US" w:eastAsia="zh-CN"/>
              </w:rPr>
            </w:pPr>
            <w:r>
              <w:rPr>
                <w:rFonts w:hint="eastAsia" w:ascii="Times New Roman" w:hAnsi="Times New Roman" w:eastAsia="宋体" w:cs="宋体"/>
                <w:caps w:val="0"/>
                <w:spacing w:val="0"/>
                <w:highlight w:val="none"/>
                <w:lang w:val="en-US" w:eastAsia="zh-CN"/>
              </w:rPr>
              <w:t>Li－第i个噪声源的声级，dB(A</w:t>
            </w:r>
            <w:r>
              <w:rPr>
                <w:rFonts w:hint="eastAsia" w:ascii="Times New Roman" w:hAnsi="Times New Roman" w:cs="宋体"/>
                <w:caps w:val="0"/>
                <w:spacing w:val="0"/>
                <w:highlight w:val="none"/>
                <w:lang w:val="en-US" w:eastAsia="zh-CN"/>
              </w:rPr>
              <w:t>)</w:t>
            </w:r>
            <w:r>
              <w:rPr>
                <w:rFonts w:hint="eastAsia" w:ascii="Times New Roman" w:hAnsi="Times New Roman" w:eastAsia="宋体" w:cs="宋体"/>
                <w:caps w:val="0"/>
                <w:spacing w:val="0"/>
                <w:highlight w:val="none"/>
                <w:lang w:val="en-US" w:eastAsia="zh-CN"/>
              </w:rPr>
              <w:t>；</w:t>
            </w:r>
          </w:p>
          <w:p w14:paraId="776EE189">
            <w:pPr>
              <w:pStyle w:val="48"/>
              <w:keepNext w:val="0"/>
              <w:keepLines w:val="0"/>
              <w:pageBreakBefore w:val="0"/>
              <w:widowControl w:val="0"/>
              <w:kinsoku/>
              <w:wordWrap/>
              <w:overflowPunct/>
              <w:topLinePunct w:val="0"/>
              <w:autoSpaceDE/>
              <w:autoSpaceDN/>
              <w:bidi w:val="0"/>
              <w:adjustRightInd w:val="0"/>
              <w:snapToGrid w:val="0"/>
              <w:ind w:left="0" w:leftChars="0" w:firstLine="720" w:firstLineChars="300"/>
              <w:textAlignment w:val="auto"/>
              <w:rPr>
                <w:rFonts w:hint="eastAsia" w:ascii="Times New Roman" w:hAnsi="Times New Roman" w:eastAsia="宋体" w:cs="宋体"/>
                <w:caps w:val="0"/>
                <w:spacing w:val="0"/>
                <w:highlight w:val="none"/>
                <w:lang w:val="en-US" w:eastAsia="zh-CN"/>
              </w:rPr>
            </w:pPr>
            <w:r>
              <w:rPr>
                <w:rFonts w:hint="eastAsia" w:ascii="Times New Roman" w:hAnsi="Times New Roman" w:eastAsia="宋体" w:cs="宋体"/>
                <w:caps w:val="0"/>
                <w:spacing w:val="0"/>
                <w:sz w:val="24"/>
                <w:szCs w:val="24"/>
                <w:highlight w:val="none"/>
              </w:rPr>
              <w:t>n—为噪声源的个数。</w:t>
            </w:r>
          </w:p>
          <w:p w14:paraId="66B8DC45">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eastAsia" w:ascii="Times New Roman" w:hAnsi="Times New Roman" w:eastAsia="宋体" w:cs="宋体"/>
                <w:b/>
                <w:bCs w:val="0"/>
                <w:caps w:val="0"/>
                <w:spacing w:val="0"/>
                <w:highlight w:val="none"/>
                <w:lang w:val="en-US" w:eastAsia="zh-CN"/>
              </w:rPr>
            </w:pPr>
            <w:r>
              <w:rPr>
                <w:rFonts w:hint="eastAsia" w:ascii="Times New Roman" w:hAnsi="Times New Roman" w:eastAsia="宋体" w:cs="宋体"/>
                <w:b/>
                <w:bCs w:val="0"/>
                <w:caps w:val="0"/>
                <w:spacing w:val="0"/>
                <w:sz w:val="24"/>
                <w:szCs w:val="24"/>
                <w:highlight w:val="none"/>
              </w:rPr>
              <w:t>3</w:t>
            </w:r>
            <w:r>
              <w:rPr>
                <w:rFonts w:hint="eastAsia" w:ascii="Times New Roman" w:hAnsi="Times New Roman" w:eastAsia="宋体" w:cs="宋体"/>
                <w:b/>
                <w:bCs w:val="0"/>
                <w:caps w:val="0"/>
                <w:spacing w:val="0"/>
                <w:sz w:val="24"/>
                <w:szCs w:val="24"/>
                <w:highlight w:val="none"/>
                <w:lang w:eastAsia="zh-CN"/>
              </w:rPr>
              <w:t>.</w:t>
            </w:r>
            <w:r>
              <w:rPr>
                <w:rFonts w:hint="eastAsia" w:ascii="Times New Roman" w:hAnsi="Times New Roman" w:eastAsia="宋体" w:cs="宋体"/>
                <w:b/>
                <w:bCs w:val="0"/>
                <w:caps w:val="0"/>
                <w:spacing w:val="0"/>
                <w:sz w:val="24"/>
                <w:szCs w:val="24"/>
                <w:highlight w:val="none"/>
              </w:rPr>
              <w:t>2 噪声源强及治理措施</w:t>
            </w:r>
          </w:p>
          <w:p w14:paraId="4B0D38C6">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lang w:val="en-US" w:eastAsia="zh-CN"/>
              </w:rPr>
              <w:t>本</w:t>
            </w:r>
            <w:r>
              <w:rPr>
                <w:rFonts w:hint="eastAsia" w:ascii="Times New Roman" w:hAnsi="Times New Roman" w:eastAsia="宋体" w:cs="宋体"/>
                <w:caps w:val="0"/>
                <w:spacing w:val="0"/>
                <w:sz w:val="24"/>
                <w:szCs w:val="24"/>
                <w:highlight w:val="none"/>
              </w:rPr>
              <w:t>项目噪声源主要是</w:t>
            </w:r>
            <w:r>
              <w:rPr>
                <w:rFonts w:hint="eastAsia" w:ascii="Times New Roman" w:hAnsi="Times New Roman" w:eastAsia="宋体" w:cs="宋体"/>
                <w:caps w:val="0"/>
                <w:snapToGrid w:val="0"/>
                <w:color w:val="auto"/>
                <w:spacing w:val="0"/>
                <w:sz w:val="24"/>
                <w:szCs w:val="24"/>
                <w:highlight w:val="none"/>
                <w:lang w:val="en-US" w:eastAsia="zh-CN"/>
              </w:rPr>
              <w:t>导热油炉</w:t>
            </w:r>
            <w:r>
              <w:rPr>
                <w:rFonts w:hint="eastAsia" w:ascii="Times New Roman" w:hAnsi="Times New Roman" w:eastAsia="宋体" w:cs="宋体"/>
                <w:caps w:val="0"/>
                <w:spacing w:val="0"/>
                <w:sz w:val="24"/>
                <w:szCs w:val="24"/>
                <w:highlight w:val="none"/>
              </w:rPr>
              <w:t>运行过程中产生的噪声，噪声源强在</w:t>
            </w:r>
            <w:r>
              <w:rPr>
                <w:rFonts w:hint="eastAsia" w:ascii="Times New Roman" w:hAnsi="Times New Roman" w:cs="宋体"/>
                <w:caps w:val="0"/>
                <w:spacing w:val="0"/>
                <w:sz w:val="24"/>
                <w:szCs w:val="24"/>
                <w:highlight w:val="none"/>
                <w:lang w:val="en-US" w:eastAsia="zh-CN"/>
              </w:rPr>
              <w:t>60</w:t>
            </w:r>
            <w:r>
              <w:rPr>
                <w:rFonts w:hint="eastAsia" w:ascii="Times New Roman" w:hAnsi="Times New Roman" w:eastAsia="宋体" w:cs="宋体"/>
                <w:caps w:val="0"/>
                <w:spacing w:val="0"/>
                <w:sz w:val="24"/>
                <w:szCs w:val="24"/>
                <w:highlight w:val="none"/>
              </w:rPr>
              <w:t>～8</w:t>
            </w:r>
            <w:r>
              <w:rPr>
                <w:rFonts w:hint="eastAsia" w:ascii="Times New Roman" w:hAnsi="Times New Roman" w:eastAsia="宋体" w:cs="宋体"/>
                <w:caps w:val="0"/>
                <w:spacing w:val="0"/>
                <w:sz w:val="24"/>
                <w:szCs w:val="24"/>
                <w:highlight w:val="none"/>
                <w:lang w:val="en-US" w:eastAsia="zh-CN"/>
              </w:rPr>
              <w:t>0</w:t>
            </w:r>
            <w:r>
              <w:rPr>
                <w:rFonts w:hint="eastAsia" w:ascii="Times New Roman" w:hAnsi="Times New Roman" w:eastAsia="宋体" w:cs="宋体"/>
                <w:caps w:val="0"/>
                <w:spacing w:val="0"/>
                <w:sz w:val="24"/>
                <w:szCs w:val="24"/>
                <w:highlight w:val="none"/>
              </w:rPr>
              <w:t>dB（A）之间。</w:t>
            </w:r>
            <w:r>
              <w:rPr>
                <w:rFonts w:hint="eastAsia" w:ascii="Times New Roman" w:hAnsi="Times New Roman" w:eastAsia="宋体" w:cs="宋体"/>
                <w:caps w:val="0"/>
                <w:spacing w:val="0"/>
                <w:sz w:val="24"/>
                <w:szCs w:val="24"/>
                <w:highlight w:val="none"/>
                <w:lang w:val="en-US" w:eastAsia="zh-CN"/>
              </w:rPr>
              <w:t>根据现有工程排污许可证给出的现有工程的高噪声设备主要为滚筛机、圆筛机、</w:t>
            </w:r>
            <w:r>
              <w:rPr>
                <w:rFonts w:hint="eastAsia" w:ascii="Times New Roman" w:hAnsi="Times New Roman" w:cs="宋体"/>
                <w:caps w:val="0"/>
                <w:spacing w:val="0"/>
                <w:sz w:val="24"/>
                <w:szCs w:val="24"/>
                <w:highlight w:val="none"/>
                <w:lang w:val="en-US" w:eastAsia="zh-CN"/>
              </w:rPr>
              <w:t>滚料机</w:t>
            </w:r>
            <w:r>
              <w:rPr>
                <w:rFonts w:hint="eastAsia" w:ascii="Times New Roman" w:hAnsi="Times New Roman" w:eastAsia="宋体" w:cs="宋体"/>
                <w:caps w:val="0"/>
                <w:spacing w:val="0"/>
                <w:sz w:val="24"/>
                <w:szCs w:val="24"/>
                <w:highlight w:val="none"/>
                <w:lang w:val="en-US" w:eastAsia="zh-CN"/>
              </w:rPr>
              <w:t>，噪声源强在70-80dB（A）之间。</w:t>
            </w:r>
            <w:r>
              <w:rPr>
                <w:rFonts w:hint="eastAsia" w:ascii="Times New Roman" w:hAnsi="Times New Roman" w:eastAsia="宋体" w:cs="宋体"/>
                <w:caps w:val="0"/>
                <w:spacing w:val="0"/>
                <w:sz w:val="24"/>
                <w:szCs w:val="24"/>
                <w:highlight w:val="none"/>
              </w:rPr>
              <w:t>根据工程分析，本项目主要声源设备通过采</w:t>
            </w:r>
            <w:r>
              <w:rPr>
                <w:rFonts w:hint="eastAsia" w:ascii="Times New Roman" w:hAnsi="Times New Roman" w:eastAsia="宋体" w:cs="宋体"/>
                <w:caps w:val="0"/>
                <w:spacing w:val="0"/>
                <w:sz w:val="24"/>
                <w:szCs w:val="24"/>
                <w:highlight w:val="none"/>
                <w:lang w:val="en-US" w:eastAsia="zh-CN"/>
              </w:rPr>
              <w:t>用</w:t>
            </w:r>
            <w:r>
              <w:rPr>
                <w:rFonts w:hint="eastAsia" w:ascii="Times New Roman" w:hAnsi="Times New Roman" w:eastAsia="宋体" w:cs="宋体"/>
                <w:caps w:val="0"/>
                <w:spacing w:val="0"/>
                <w:sz w:val="24"/>
                <w:szCs w:val="24"/>
                <w:highlight w:val="none"/>
              </w:rPr>
              <w:t>基础减振、安装隔声罩、厂房隔声等措施，各噪声源调查信息汇总见下表。</w:t>
            </w:r>
          </w:p>
        </w:tc>
      </w:tr>
    </w:tbl>
    <w:p w14:paraId="1DC21342">
      <w:pPr>
        <w:rPr>
          <w:rFonts w:hint="eastAsia" w:ascii="Times New Roman" w:hAnsi="Times New Roman" w:eastAsia="宋体" w:cs="宋体"/>
          <w:caps w:val="0"/>
          <w:color w:val="FF0000"/>
          <w:spacing w:val="0"/>
          <w:kern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5D288F4E">
      <w:pPr>
        <w:pStyle w:val="5"/>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eastAsia" w:ascii="Times New Roman" w:hAnsi="Times New Roman" w:eastAsia="宋体" w:cs="宋体"/>
          <w:b/>
          <w:bCs/>
          <w:caps w:val="0"/>
          <w:spacing w:val="0"/>
          <w:sz w:val="21"/>
          <w:szCs w:val="21"/>
          <w:highlight w:val="none"/>
          <w:lang w:val="en-US" w:eastAsia="zh-CN"/>
        </w:rPr>
      </w:pPr>
      <w:r>
        <w:rPr>
          <w:rFonts w:hint="eastAsia" w:ascii="Times New Roman" w:hAnsi="Times New Roman" w:eastAsia="宋体" w:cs="宋体"/>
          <w:b/>
          <w:bCs/>
          <w:caps w:val="0"/>
          <w:spacing w:val="0"/>
          <w:sz w:val="21"/>
          <w:szCs w:val="21"/>
          <w:highlight w:val="none"/>
          <w:lang w:val="en-US" w:eastAsia="zh-CN"/>
        </w:rPr>
        <w:t>表4-</w:t>
      </w:r>
      <w:r>
        <w:rPr>
          <w:rFonts w:hint="eastAsia" w:cs="宋体"/>
          <w:b/>
          <w:bCs/>
          <w:caps w:val="0"/>
          <w:spacing w:val="0"/>
          <w:sz w:val="21"/>
          <w:szCs w:val="21"/>
          <w:highlight w:val="none"/>
          <w:lang w:val="en-US" w:eastAsia="zh-CN"/>
        </w:rPr>
        <w:t>8</w:t>
      </w:r>
      <w:r>
        <w:rPr>
          <w:rFonts w:hint="eastAsia" w:ascii="Times New Roman" w:hAnsi="Times New Roman" w:eastAsia="宋体" w:cs="宋体"/>
          <w:b/>
          <w:bCs/>
          <w:caps w:val="0"/>
          <w:spacing w:val="0"/>
          <w:sz w:val="21"/>
          <w:szCs w:val="21"/>
          <w:highlight w:val="none"/>
          <w:lang w:val="en-US" w:eastAsia="zh-CN"/>
        </w:rPr>
        <w:t>噪声源强调查清单（室内声源）</w:t>
      </w:r>
    </w:p>
    <w:tbl>
      <w:tblPr>
        <w:tblStyle w:val="36"/>
        <w:tblW w:w="525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3"/>
        <w:gridCol w:w="744"/>
        <w:gridCol w:w="700"/>
        <w:gridCol w:w="896"/>
        <w:gridCol w:w="760"/>
        <w:gridCol w:w="701"/>
        <w:gridCol w:w="557"/>
        <w:gridCol w:w="557"/>
        <w:gridCol w:w="557"/>
        <w:gridCol w:w="509"/>
        <w:gridCol w:w="509"/>
        <w:gridCol w:w="509"/>
        <w:gridCol w:w="520"/>
        <w:gridCol w:w="644"/>
        <w:gridCol w:w="644"/>
        <w:gridCol w:w="644"/>
        <w:gridCol w:w="650"/>
        <w:gridCol w:w="534"/>
        <w:gridCol w:w="596"/>
        <w:gridCol w:w="486"/>
        <w:gridCol w:w="531"/>
        <w:gridCol w:w="432"/>
        <w:gridCol w:w="503"/>
        <w:gridCol w:w="413"/>
      </w:tblGrid>
      <w:tr w14:paraId="2CA685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8" w:type="pct"/>
            <w:vMerge w:val="restart"/>
            <w:tcBorders>
              <w:tl2br w:val="nil"/>
              <w:tr2bl w:val="nil"/>
            </w:tcBorders>
            <w:noWrap w:val="0"/>
            <w:vAlign w:val="center"/>
          </w:tcPr>
          <w:p w14:paraId="57D8BFB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序号</w:t>
            </w:r>
          </w:p>
        </w:tc>
        <w:tc>
          <w:tcPr>
            <w:tcW w:w="263" w:type="pct"/>
            <w:vMerge w:val="restart"/>
            <w:tcBorders>
              <w:tl2br w:val="nil"/>
              <w:tr2bl w:val="nil"/>
            </w:tcBorders>
            <w:noWrap w:val="0"/>
            <w:vAlign w:val="center"/>
          </w:tcPr>
          <w:p w14:paraId="24BF590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建筑物名称</w:t>
            </w:r>
          </w:p>
        </w:tc>
        <w:tc>
          <w:tcPr>
            <w:tcW w:w="247" w:type="pct"/>
            <w:vMerge w:val="restart"/>
            <w:tcBorders>
              <w:tl2br w:val="nil"/>
              <w:tr2bl w:val="nil"/>
            </w:tcBorders>
            <w:noWrap w:val="0"/>
            <w:vAlign w:val="center"/>
          </w:tcPr>
          <w:p w14:paraId="1A367CF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声源名称</w:t>
            </w:r>
          </w:p>
        </w:tc>
        <w:tc>
          <w:tcPr>
            <w:tcW w:w="317" w:type="pct"/>
            <w:vMerge w:val="restart"/>
            <w:tcBorders>
              <w:tl2br w:val="nil"/>
              <w:tr2bl w:val="nil"/>
            </w:tcBorders>
            <w:noWrap w:val="0"/>
            <w:vAlign w:val="center"/>
          </w:tcPr>
          <w:p w14:paraId="51A2684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型号</w:t>
            </w:r>
          </w:p>
        </w:tc>
        <w:tc>
          <w:tcPr>
            <w:tcW w:w="268" w:type="pct"/>
            <w:tcBorders>
              <w:tl2br w:val="nil"/>
              <w:tr2bl w:val="nil"/>
            </w:tcBorders>
            <w:noWrap w:val="0"/>
            <w:vAlign w:val="center"/>
          </w:tcPr>
          <w:p w14:paraId="0FBC1A6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声源源强（任选一种）</w:t>
            </w:r>
          </w:p>
        </w:tc>
        <w:tc>
          <w:tcPr>
            <w:tcW w:w="248" w:type="pct"/>
            <w:vMerge w:val="restart"/>
            <w:tcBorders>
              <w:tl2br w:val="nil"/>
              <w:tr2bl w:val="nil"/>
            </w:tcBorders>
            <w:noWrap w:val="0"/>
            <w:vAlign w:val="center"/>
          </w:tcPr>
          <w:p w14:paraId="7406A97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声源控制措施</w:t>
            </w:r>
          </w:p>
        </w:tc>
        <w:tc>
          <w:tcPr>
            <w:tcW w:w="591" w:type="pct"/>
            <w:gridSpan w:val="3"/>
            <w:tcBorders>
              <w:tl2br w:val="nil"/>
              <w:tr2bl w:val="nil"/>
            </w:tcBorders>
            <w:noWrap w:val="0"/>
            <w:vAlign w:val="center"/>
          </w:tcPr>
          <w:p w14:paraId="70EC6AC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空间相对位置/m</w:t>
            </w:r>
          </w:p>
        </w:tc>
        <w:tc>
          <w:tcPr>
            <w:tcW w:w="724" w:type="pct"/>
            <w:gridSpan w:val="4"/>
            <w:tcBorders>
              <w:tl2br w:val="nil"/>
              <w:tr2bl w:val="nil"/>
            </w:tcBorders>
            <w:noWrap w:val="0"/>
            <w:vAlign w:val="center"/>
          </w:tcPr>
          <w:p w14:paraId="45FA828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距室内边界距离/m</w:t>
            </w:r>
          </w:p>
        </w:tc>
        <w:tc>
          <w:tcPr>
            <w:tcW w:w="913" w:type="pct"/>
            <w:gridSpan w:val="4"/>
            <w:tcBorders>
              <w:tl2br w:val="nil"/>
              <w:tr2bl w:val="nil"/>
            </w:tcBorders>
            <w:noWrap w:val="0"/>
            <w:vAlign w:val="center"/>
          </w:tcPr>
          <w:p w14:paraId="053C3C8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室内边界</w:t>
            </w:r>
            <w:r>
              <w:rPr>
                <w:rFonts w:hint="eastAsia" w:ascii="Times New Roman" w:hAnsi="Times New Roman" w:cs="宋体"/>
                <w:b/>
                <w:bCs/>
                <w:caps w:val="0"/>
                <w:spacing w:val="0"/>
                <w:sz w:val="21"/>
                <w:szCs w:val="21"/>
                <w:highlight w:val="none"/>
                <w:vertAlign w:val="baseline"/>
                <w:lang w:val="en-US" w:eastAsia="zh-CN"/>
              </w:rPr>
              <w:t>声</w:t>
            </w:r>
            <w:r>
              <w:rPr>
                <w:rFonts w:hint="eastAsia" w:ascii="Times New Roman" w:hAnsi="Times New Roman" w:eastAsia="宋体" w:cs="宋体"/>
                <w:b/>
                <w:bCs/>
                <w:caps w:val="0"/>
                <w:spacing w:val="0"/>
                <w:sz w:val="21"/>
                <w:szCs w:val="21"/>
                <w:highlight w:val="none"/>
                <w:vertAlign w:val="baseline"/>
                <w:lang w:val="en-US" w:eastAsia="zh-CN"/>
              </w:rPr>
              <w:t>级/dB（A）</w:t>
            </w:r>
          </w:p>
        </w:tc>
        <w:tc>
          <w:tcPr>
            <w:tcW w:w="188" w:type="pct"/>
            <w:vMerge w:val="restart"/>
            <w:tcBorders>
              <w:tl2br w:val="nil"/>
              <w:tr2bl w:val="nil"/>
            </w:tcBorders>
            <w:noWrap w:val="0"/>
            <w:vAlign w:val="center"/>
          </w:tcPr>
          <w:p w14:paraId="199C833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运行时段</w:t>
            </w:r>
          </w:p>
        </w:tc>
        <w:tc>
          <w:tcPr>
            <w:tcW w:w="210" w:type="pct"/>
            <w:vMerge w:val="restart"/>
            <w:tcBorders>
              <w:tl2br w:val="nil"/>
              <w:tr2bl w:val="nil"/>
            </w:tcBorders>
            <w:noWrap w:val="0"/>
            <w:vAlign w:val="center"/>
          </w:tcPr>
          <w:p w14:paraId="10CC567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建筑物插入损失/dB（A）</w:t>
            </w:r>
          </w:p>
        </w:tc>
        <w:tc>
          <w:tcPr>
            <w:tcW w:w="836" w:type="pct"/>
            <w:gridSpan w:val="5"/>
            <w:tcBorders>
              <w:tl2br w:val="nil"/>
              <w:tr2bl w:val="nil"/>
            </w:tcBorders>
            <w:noWrap w:val="0"/>
            <w:vAlign w:val="center"/>
          </w:tcPr>
          <w:p w14:paraId="4FE6639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建筑物外噪声</w:t>
            </w:r>
          </w:p>
        </w:tc>
      </w:tr>
      <w:tr w14:paraId="5AB309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8" w:type="pct"/>
            <w:vMerge w:val="continue"/>
            <w:tcBorders>
              <w:tl2br w:val="nil"/>
              <w:tr2bl w:val="nil"/>
            </w:tcBorders>
            <w:noWrap w:val="0"/>
            <w:vAlign w:val="center"/>
          </w:tcPr>
          <w:p w14:paraId="55CB0A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63" w:type="pct"/>
            <w:vMerge w:val="continue"/>
            <w:tcBorders>
              <w:tl2br w:val="nil"/>
              <w:tr2bl w:val="nil"/>
            </w:tcBorders>
            <w:noWrap w:val="0"/>
            <w:vAlign w:val="center"/>
          </w:tcPr>
          <w:p w14:paraId="6BED60D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47" w:type="pct"/>
            <w:vMerge w:val="continue"/>
            <w:tcBorders>
              <w:tl2br w:val="nil"/>
              <w:tr2bl w:val="nil"/>
            </w:tcBorders>
            <w:noWrap w:val="0"/>
            <w:vAlign w:val="center"/>
          </w:tcPr>
          <w:p w14:paraId="5355382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317" w:type="pct"/>
            <w:vMerge w:val="continue"/>
            <w:tcBorders>
              <w:tl2br w:val="nil"/>
              <w:tr2bl w:val="nil"/>
            </w:tcBorders>
            <w:noWrap w:val="0"/>
            <w:vAlign w:val="center"/>
          </w:tcPr>
          <w:p w14:paraId="451C953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68" w:type="pct"/>
            <w:vMerge w:val="restart"/>
            <w:tcBorders>
              <w:tl2br w:val="nil"/>
              <w:tr2bl w:val="nil"/>
            </w:tcBorders>
            <w:noWrap w:val="0"/>
            <w:vAlign w:val="center"/>
          </w:tcPr>
          <w:p w14:paraId="06D8193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声功率级/dB（A）</w:t>
            </w:r>
          </w:p>
        </w:tc>
        <w:tc>
          <w:tcPr>
            <w:tcW w:w="248" w:type="pct"/>
            <w:vMerge w:val="continue"/>
            <w:tcBorders>
              <w:tl2br w:val="nil"/>
              <w:tr2bl w:val="nil"/>
            </w:tcBorders>
            <w:noWrap w:val="0"/>
            <w:vAlign w:val="center"/>
          </w:tcPr>
          <w:p w14:paraId="78F1903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197" w:type="pct"/>
            <w:vMerge w:val="restart"/>
            <w:tcBorders>
              <w:tl2br w:val="nil"/>
              <w:tr2bl w:val="nil"/>
            </w:tcBorders>
            <w:noWrap w:val="0"/>
            <w:vAlign w:val="center"/>
          </w:tcPr>
          <w:p w14:paraId="19F7A1B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X</w:t>
            </w:r>
          </w:p>
        </w:tc>
        <w:tc>
          <w:tcPr>
            <w:tcW w:w="197" w:type="pct"/>
            <w:vMerge w:val="restart"/>
            <w:tcBorders>
              <w:tl2br w:val="nil"/>
              <w:tr2bl w:val="nil"/>
            </w:tcBorders>
            <w:noWrap w:val="0"/>
            <w:vAlign w:val="center"/>
          </w:tcPr>
          <w:p w14:paraId="6BD350F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Y</w:t>
            </w:r>
          </w:p>
        </w:tc>
        <w:tc>
          <w:tcPr>
            <w:tcW w:w="197" w:type="pct"/>
            <w:vMerge w:val="restart"/>
            <w:tcBorders>
              <w:tl2br w:val="nil"/>
              <w:tr2bl w:val="nil"/>
            </w:tcBorders>
            <w:noWrap w:val="0"/>
            <w:vAlign w:val="center"/>
          </w:tcPr>
          <w:p w14:paraId="4D4B534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Z</w:t>
            </w:r>
          </w:p>
        </w:tc>
        <w:tc>
          <w:tcPr>
            <w:tcW w:w="180" w:type="pct"/>
            <w:vMerge w:val="restart"/>
            <w:tcBorders>
              <w:tl2br w:val="nil"/>
              <w:tr2bl w:val="nil"/>
            </w:tcBorders>
            <w:noWrap w:val="0"/>
            <w:vAlign w:val="center"/>
          </w:tcPr>
          <w:p w14:paraId="51A074B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东</w:t>
            </w:r>
          </w:p>
        </w:tc>
        <w:tc>
          <w:tcPr>
            <w:tcW w:w="180" w:type="pct"/>
            <w:vMerge w:val="restart"/>
            <w:tcBorders>
              <w:tl2br w:val="nil"/>
              <w:tr2bl w:val="nil"/>
            </w:tcBorders>
            <w:noWrap w:val="0"/>
            <w:vAlign w:val="center"/>
          </w:tcPr>
          <w:p w14:paraId="148F564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南</w:t>
            </w:r>
          </w:p>
        </w:tc>
        <w:tc>
          <w:tcPr>
            <w:tcW w:w="180" w:type="pct"/>
            <w:vMerge w:val="restart"/>
            <w:tcBorders>
              <w:tl2br w:val="nil"/>
              <w:tr2bl w:val="nil"/>
            </w:tcBorders>
            <w:noWrap w:val="0"/>
            <w:vAlign w:val="center"/>
          </w:tcPr>
          <w:p w14:paraId="63C07A1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西</w:t>
            </w:r>
          </w:p>
        </w:tc>
        <w:tc>
          <w:tcPr>
            <w:tcW w:w="184" w:type="pct"/>
            <w:vMerge w:val="restart"/>
            <w:tcBorders>
              <w:tl2br w:val="nil"/>
              <w:tr2bl w:val="nil"/>
            </w:tcBorders>
            <w:noWrap w:val="0"/>
            <w:vAlign w:val="center"/>
          </w:tcPr>
          <w:p w14:paraId="2556CA6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北</w:t>
            </w:r>
          </w:p>
        </w:tc>
        <w:tc>
          <w:tcPr>
            <w:tcW w:w="227" w:type="pct"/>
            <w:vMerge w:val="restart"/>
            <w:tcBorders>
              <w:tl2br w:val="nil"/>
              <w:tr2bl w:val="nil"/>
            </w:tcBorders>
            <w:noWrap w:val="0"/>
            <w:vAlign w:val="center"/>
          </w:tcPr>
          <w:p w14:paraId="0CDB76F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东</w:t>
            </w:r>
          </w:p>
        </w:tc>
        <w:tc>
          <w:tcPr>
            <w:tcW w:w="227" w:type="pct"/>
            <w:vMerge w:val="restart"/>
            <w:tcBorders>
              <w:tl2br w:val="nil"/>
              <w:tr2bl w:val="nil"/>
            </w:tcBorders>
            <w:noWrap w:val="0"/>
            <w:vAlign w:val="center"/>
          </w:tcPr>
          <w:p w14:paraId="1244441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南</w:t>
            </w:r>
          </w:p>
        </w:tc>
        <w:tc>
          <w:tcPr>
            <w:tcW w:w="227" w:type="pct"/>
            <w:vMerge w:val="restart"/>
            <w:tcBorders>
              <w:tl2br w:val="nil"/>
              <w:tr2bl w:val="nil"/>
            </w:tcBorders>
            <w:noWrap w:val="0"/>
            <w:vAlign w:val="center"/>
          </w:tcPr>
          <w:p w14:paraId="11533E7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西</w:t>
            </w:r>
          </w:p>
        </w:tc>
        <w:tc>
          <w:tcPr>
            <w:tcW w:w="230" w:type="pct"/>
            <w:vMerge w:val="restart"/>
            <w:tcBorders>
              <w:tl2br w:val="nil"/>
              <w:tr2bl w:val="nil"/>
            </w:tcBorders>
            <w:noWrap w:val="0"/>
            <w:vAlign w:val="center"/>
          </w:tcPr>
          <w:p w14:paraId="0CFC4D9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北</w:t>
            </w:r>
          </w:p>
        </w:tc>
        <w:tc>
          <w:tcPr>
            <w:tcW w:w="188" w:type="pct"/>
            <w:vMerge w:val="continue"/>
            <w:tcBorders>
              <w:tl2br w:val="nil"/>
              <w:tr2bl w:val="nil"/>
            </w:tcBorders>
            <w:noWrap w:val="0"/>
            <w:vAlign w:val="center"/>
          </w:tcPr>
          <w:p w14:paraId="09506BB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rPr>
            </w:pPr>
          </w:p>
        </w:tc>
        <w:tc>
          <w:tcPr>
            <w:tcW w:w="210" w:type="pct"/>
            <w:vMerge w:val="continue"/>
            <w:tcBorders>
              <w:tl2br w:val="nil"/>
              <w:tr2bl w:val="nil"/>
            </w:tcBorders>
            <w:noWrap w:val="0"/>
            <w:vAlign w:val="center"/>
          </w:tcPr>
          <w:p w14:paraId="762910C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rPr>
            </w:pPr>
          </w:p>
        </w:tc>
        <w:tc>
          <w:tcPr>
            <w:tcW w:w="690" w:type="pct"/>
            <w:gridSpan w:val="4"/>
            <w:tcBorders>
              <w:tl2br w:val="nil"/>
              <w:tr2bl w:val="nil"/>
            </w:tcBorders>
            <w:noWrap w:val="0"/>
            <w:vAlign w:val="center"/>
          </w:tcPr>
          <w:p w14:paraId="143F513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声压级/dB（A）</w:t>
            </w:r>
          </w:p>
        </w:tc>
        <w:tc>
          <w:tcPr>
            <w:tcW w:w="146" w:type="pct"/>
            <w:vMerge w:val="restart"/>
            <w:tcBorders>
              <w:tl2br w:val="nil"/>
              <w:tr2bl w:val="nil"/>
            </w:tcBorders>
            <w:noWrap w:val="0"/>
            <w:vAlign w:val="center"/>
          </w:tcPr>
          <w:p w14:paraId="706A3E6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建筑物外距离m</w:t>
            </w:r>
          </w:p>
        </w:tc>
      </w:tr>
      <w:tr w14:paraId="550239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8" w:type="pct"/>
            <w:vMerge w:val="continue"/>
            <w:tcBorders>
              <w:tl2br w:val="nil"/>
              <w:tr2bl w:val="nil"/>
            </w:tcBorders>
            <w:noWrap w:val="0"/>
            <w:vAlign w:val="center"/>
          </w:tcPr>
          <w:p w14:paraId="52C97FE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63" w:type="pct"/>
            <w:vMerge w:val="continue"/>
            <w:tcBorders>
              <w:tl2br w:val="nil"/>
              <w:tr2bl w:val="nil"/>
            </w:tcBorders>
            <w:noWrap w:val="0"/>
            <w:vAlign w:val="center"/>
          </w:tcPr>
          <w:p w14:paraId="01D7E74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47" w:type="pct"/>
            <w:vMerge w:val="continue"/>
            <w:tcBorders>
              <w:tl2br w:val="nil"/>
              <w:tr2bl w:val="nil"/>
            </w:tcBorders>
            <w:noWrap w:val="0"/>
            <w:vAlign w:val="center"/>
          </w:tcPr>
          <w:p w14:paraId="74577D8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317" w:type="pct"/>
            <w:vMerge w:val="continue"/>
            <w:tcBorders>
              <w:tl2br w:val="nil"/>
              <w:tr2bl w:val="nil"/>
            </w:tcBorders>
            <w:noWrap w:val="0"/>
            <w:vAlign w:val="center"/>
          </w:tcPr>
          <w:p w14:paraId="5DBF0A8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68" w:type="pct"/>
            <w:vMerge w:val="continue"/>
            <w:tcBorders>
              <w:tl2br w:val="nil"/>
              <w:tr2bl w:val="nil"/>
            </w:tcBorders>
            <w:noWrap w:val="0"/>
            <w:vAlign w:val="center"/>
          </w:tcPr>
          <w:p w14:paraId="6EC46BF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48" w:type="pct"/>
            <w:vMerge w:val="continue"/>
            <w:tcBorders>
              <w:tl2br w:val="nil"/>
              <w:tr2bl w:val="nil"/>
            </w:tcBorders>
            <w:noWrap w:val="0"/>
            <w:vAlign w:val="center"/>
          </w:tcPr>
          <w:p w14:paraId="4AF17EB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97" w:type="pct"/>
            <w:vMerge w:val="continue"/>
            <w:tcBorders>
              <w:tl2br w:val="nil"/>
              <w:tr2bl w:val="nil"/>
            </w:tcBorders>
            <w:noWrap w:val="0"/>
            <w:vAlign w:val="center"/>
          </w:tcPr>
          <w:p w14:paraId="3D02402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97" w:type="pct"/>
            <w:vMerge w:val="continue"/>
            <w:tcBorders>
              <w:tl2br w:val="nil"/>
              <w:tr2bl w:val="nil"/>
            </w:tcBorders>
            <w:noWrap w:val="0"/>
            <w:vAlign w:val="center"/>
          </w:tcPr>
          <w:p w14:paraId="1998597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97" w:type="pct"/>
            <w:vMerge w:val="continue"/>
            <w:tcBorders>
              <w:tl2br w:val="nil"/>
              <w:tr2bl w:val="nil"/>
            </w:tcBorders>
            <w:noWrap w:val="0"/>
            <w:vAlign w:val="center"/>
          </w:tcPr>
          <w:p w14:paraId="788D4D0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80" w:type="pct"/>
            <w:vMerge w:val="continue"/>
            <w:tcBorders>
              <w:tl2br w:val="nil"/>
              <w:tr2bl w:val="nil"/>
            </w:tcBorders>
            <w:noWrap w:val="0"/>
            <w:vAlign w:val="center"/>
          </w:tcPr>
          <w:p w14:paraId="5EBEB57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80" w:type="pct"/>
            <w:vMerge w:val="continue"/>
            <w:tcBorders>
              <w:tl2br w:val="nil"/>
              <w:tr2bl w:val="nil"/>
            </w:tcBorders>
            <w:noWrap w:val="0"/>
            <w:vAlign w:val="center"/>
          </w:tcPr>
          <w:p w14:paraId="594730A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80" w:type="pct"/>
            <w:vMerge w:val="continue"/>
            <w:tcBorders>
              <w:tl2br w:val="nil"/>
              <w:tr2bl w:val="nil"/>
            </w:tcBorders>
            <w:noWrap w:val="0"/>
            <w:vAlign w:val="center"/>
          </w:tcPr>
          <w:p w14:paraId="6635769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84" w:type="pct"/>
            <w:vMerge w:val="continue"/>
            <w:tcBorders>
              <w:tl2br w:val="nil"/>
              <w:tr2bl w:val="nil"/>
            </w:tcBorders>
            <w:noWrap w:val="0"/>
            <w:vAlign w:val="center"/>
          </w:tcPr>
          <w:p w14:paraId="21B4C7D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27" w:type="pct"/>
            <w:vMerge w:val="continue"/>
            <w:tcBorders>
              <w:tl2br w:val="nil"/>
              <w:tr2bl w:val="nil"/>
            </w:tcBorders>
            <w:noWrap w:val="0"/>
            <w:vAlign w:val="center"/>
          </w:tcPr>
          <w:p w14:paraId="5BF2E68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27" w:type="pct"/>
            <w:vMerge w:val="continue"/>
            <w:tcBorders>
              <w:tl2br w:val="nil"/>
              <w:tr2bl w:val="nil"/>
            </w:tcBorders>
            <w:noWrap w:val="0"/>
            <w:vAlign w:val="center"/>
          </w:tcPr>
          <w:p w14:paraId="31F5B6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27" w:type="pct"/>
            <w:vMerge w:val="continue"/>
            <w:tcBorders>
              <w:tl2br w:val="nil"/>
              <w:tr2bl w:val="nil"/>
            </w:tcBorders>
            <w:noWrap w:val="0"/>
            <w:vAlign w:val="center"/>
          </w:tcPr>
          <w:p w14:paraId="39E6C56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30" w:type="pct"/>
            <w:vMerge w:val="continue"/>
            <w:tcBorders>
              <w:tl2br w:val="nil"/>
              <w:tr2bl w:val="nil"/>
            </w:tcBorders>
            <w:noWrap w:val="0"/>
            <w:vAlign w:val="center"/>
          </w:tcPr>
          <w:p w14:paraId="440778E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88" w:type="pct"/>
            <w:vMerge w:val="continue"/>
            <w:tcBorders>
              <w:tl2br w:val="nil"/>
              <w:tr2bl w:val="nil"/>
            </w:tcBorders>
            <w:noWrap w:val="0"/>
            <w:vAlign w:val="center"/>
          </w:tcPr>
          <w:p w14:paraId="6F6B92C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10" w:type="pct"/>
            <w:vMerge w:val="continue"/>
            <w:tcBorders>
              <w:tl2br w:val="nil"/>
              <w:tr2bl w:val="nil"/>
            </w:tcBorders>
            <w:noWrap w:val="0"/>
            <w:vAlign w:val="center"/>
          </w:tcPr>
          <w:p w14:paraId="4D3B5FC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71" w:type="pct"/>
            <w:tcBorders>
              <w:tl2br w:val="nil"/>
              <w:tr2bl w:val="nil"/>
            </w:tcBorders>
            <w:noWrap w:val="0"/>
            <w:vAlign w:val="center"/>
          </w:tcPr>
          <w:p w14:paraId="74BEEAE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东</w:t>
            </w:r>
          </w:p>
        </w:tc>
        <w:tc>
          <w:tcPr>
            <w:tcW w:w="187" w:type="pct"/>
            <w:tcBorders>
              <w:tl2br w:val="nil"/>
              <w:tr2bl w:val="nil"/>
            </w:tcBorders>
            <w:noWrap w:val="0"/>
            <w:vAlign w:val="center"/>
          </w:tcPr>
          <w:p w14:paraId="5E181FE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南</w:t>
            </w:r>
          </w:p>
        </w:tc>
        <w:tc>
          <w:tcPr>
            <w:tcW w:w="152" w:type="pct"/>
            <w:tcBorders>
              <w:tl2br w:val="nil"/>
              <w:tr2bl w:val="nil"/>
            </w:tcBorders>
            <w:noWrap w:val="0"/>
            <w:vAlign w:val="center"/>
          </w:tcPr>
          <w:p w14:paraId="0EF328F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西</w:t>
            </w:r>
          </w:p>
        </w:tc>
        <w:tc>
          <w:tcPr>
            <w:tcW w:w="178" w:type="pct"/>
            <w:tcBorders>
              <w:tl2br w:val="nil"/>
              <w:tr2bl w:val="nil"/>
            </w:tcBorders>
            <w:noWrap w:val="0"/>
            <w:vAlign w:val="center"/>
          </w:tcPr>
          <w:p w14:paraId="1FBA8F6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北</w:t>
            </w:r>
          </w:p>
        </w:tc>
        <w:tc>
          <w:tcPr>
            <w:tcW w:w="146" w:type="pct"/>
            <w:vMerge w:val="continue"/>
            <w:tcBorders>
              <w:tl2br w:val="nil"/>
              <w:tr2bl w:val="nil"/>
            </w:tcBorders>
            <w:noWrap w:val="0"/>
            <w:vAlign w:val="center"/>
          </w:tcPr>
          <w:p w14:paraId="58CD795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p>
        </w:tc>
      </w:tr>
      <w:tr w14:paraId="38CBE9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8" w:type="pct"/>
            <w:tcBorders>
              <w:tl2br w:val="nil"/>
              <w:tr2bl w:val="nil"/>
            </w:tcBorders>
            <w:noWrap w:val="0"/>
            <w:vAlign w:val="center"/>
          </w:tcPr>
          <w:p w14:paraId="68CD849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w:t>
            </w:r>
          </w:p>
        </w:tc>
        <w:tc>
          <w:tcPr>
            <w:tcW w:w="263" w:type="pct"/>
            <w:vMerge w:val="restart"/>
            <w:tcBorders>
              <w:tl2br w:val="nil"/>
              <w:tr2bl w:val="nil"/>
            </w:tcBorders>
            <w:noWrap w:val="0"/>
            <w:vAlign w:val="center"/>
          </w:tcPr>
          <w:p w14:paraId="628D77E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碳纳米管烘干车间</w:t>
            </w:r>
          </w:p>
        </w:tc>
        <w:tc>
          <w:tcPr>
            <w:tcW w:w="247" w:type="pct"/>
            <w:tcBorders>
              <w:tl2br w:val="nil"/>
              <w:tr2bl w:val="nil"/>
            </w:tcBorders>
            <w:noWrap w:val="0"/>
            <w:vAlign w:val="center"/>
          </w:tcPr>
          <w:p w14:paraId="47ECD14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eastAsia" w:ascii="Times New Roman" w:hAnsi="Times New Roman" w:eastAsia="宋体" w:cs="宋体"/>
                <w:bCs w:val="0"/>
                <w:caps w:val="0"/>
                <w:spacing w:val="0"/>
                <w:sz w:val="21"/>
                <w:szCs w:val="21"/>
                <w:highlight w:val="none"/>
                <w:lang w:val="en-US" w:eastAsia="zh-CN" w:bidi="ar"/>
              </w:rPr>
            </w:pPr>
            <w:r>
              <w:rPr>
                <w:rStyle w:val="135"/>
                <w:rFonts w:hint="eastAsia" w:ascii="Times New Roman" w:hAnsi="Times New Roman" w:eastAsia="宋体" w:cs="宋体"/>
                <w:bCs w:val="0"/>
                <w:caps w:val="0"/>
                <w:spacing w:val="0"/>
                <w:sz w:val="21"/>
                <w:szCs w:val="21"/>
                <w:highlight w:val="none"/>
                <w:lang w:val="en-US" w:eastAsia="zh-CN" w:bidi="ar"/>
              </w:rPr>
              <w:t>导热油炉</w:t>
            </w:r>
          </w:p>
        </w:tc>
        <w:tc>
          <w:tcPr>
            <w:tcW w:w="317" w:type="pct"/>
            <w:tcBorders>
              <w:tl2br w:val="nil"/>
              <w:tr2bl w:val="nil"/>
            </w:tcBorders>
            <w:noWrap w:val="0"/>
            <w:vAlign w:val="center"/>
          </w:tcPr>
          <w:p w14:paraId="3A41AFF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0.35MW</w:t>
            </w:r>
          </w:p>
        </w:tc>
        <w:tc>
          <w:tcPr>
            <w:tcW w:w="268" w:type="pct"/>
            <w:tcBorders>
              <w:tl2br w:val="nil"/>
              <w:tr2bl w:val="nil"/>
            </w:tcBorders>
            <w:noWrap w:val="0"/>
            <w:vAlign w:val="center"/>
          </w:tcPr>
          <w:p w14:paraId="5B5C43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80</w:t>
            </w:r>
          </w:p>
        </w:tc>
        <w:tc>
          <w:tcPr>
            <w:tcW w:w="248" w:type="pct"/>
            <w:vMerge w:val="restart"/>
            <w:tcBorders>
              <w:tl2br w:val="nil"/>
              <w:tr2bl w:val="nil"/>
            </w:tcBorders>
            <w:noWrap w:val="0"/>
            <w:vAlign w:val="center"/>
          </w:tcPr>
          <w:p w14:paraId="2AEE880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基础减振、厂房隔声</w:t>
            </w:r>
          </w:p>
        </w:tc>
        <w:tc>
          <w:tcPr>
            <w:tcW w:w="197" w:type="pct"/>
            <w:tcBorders>
              <w:tl2br w:val="nil"/>
              <w:tr2bl w:val="nil"/>
            </w:tcBorders>
            <w:noWrap w:val="0"/>
            <w:vAlign w:val="center"/>
          </w:tcPr>
          <w:p w14:paraId="62D36BA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40</w:t>
            </w:r>
          </w:p>
        </w:tc>
        <w:tc>
          <w:tcPr>
            <w:tcW w:w="197" w:type="pct"/>
            <w:tcBorders>
              <w:tl2br w:val="nil"/>
              <w:tr2bl w:val="nil"/>
            </w:tcBorders>
            <w:noWrap w:val="0"/>
            <w:vAlign w:val="center"/>
          </w:tcPr>
          <w:p w14:paraId="566FFE2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w:t>
            </w:r>
          </w:p>
        </w:tc>
        <w:tc>
          <w:tcPr>
            <w:tcW w:w="197" w:type="pct"/>
            <w:tcBorders>
              <w:tl2br w:val="nil"/>
              <w:tr2bl w:val="nil"/>
            </w:tcBorders>
            <w:noWrap w:val="0"/>
            <w:vAlign w:val="center"/>
          </w:tcPr>
          <w:p w14:paraId="400BF3C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w:t>
            </w:r>
          </w:p>
        </w:tc>
        <w:tc>
          <w:tcPr>
            <w:tcW w:w="180" w:type="pct"/>
            <w:tcBorders>
              <w:tl2br w:val="nil"/>
              <w:tr2bl w:val="nil"/>
            </w:tcBorders>
            <w:noWrap w:val="0"/>
            <w:vAlign w:val="center"/>
          </w:tcPr>
          <w:p w14:paraId="36F018C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caps w:val="0"/>
                <w:color w:val="auto"/>
                <w:sz w:val="21"/>
                <w:szCs w:val="21"/>
                <w:highlight w:val="none"/>
                <w:u w:val="none"/>
                <w:lang w:val="en-US" w:eastAsia="zh-CN"/>
              </w:rPr>
              <w:t>4</w:t>
            </w:r>
          </w:p>
        </w:tc>
        <w:tc>
          <w:tcPr>
            <w:tcW w:w="180" w:type="pct"/>
            <w:tcBorders>
              <w:tl2br w:val="nil"/>
              <w:tr2bl w:val="nil"/>
            </w:tcBorders>
            <w:noWrap w:val="0"/>
            <w:vAlign w:val="center"/>
          </w:tcPr>
          <w:p w14:paraId="494FB9B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caps w:val="0"/>
                <w:color w:val="auto"/>
                <w:sz w:val="21"/>
                <w:szCs w:val="21"/>
                <w:highlight w:val="none"/>
                <w:u w:val="none"/>
                <w:lang w:val="en-US" w:eastAsia="zh-CN"/>
              </w:rPr>
              <w:t>9</w:t>
            </w:r>
          </w:p>
        </w:tc>
        <w:tc>
          <w:tcPr>
            <w:tcW w:w="180" w:type="pct"/>
            <w:tcBorders>
              <w:tl2br w:val="nil"/>
              <w:tr2bl w:val="nil"/>
            </w:tcBorders>
            <w:noWrap w:val="0"/>
            <w:vAlign w:val="center"/>
          </w:tcPr>
          <w:p w14:paraId="10BD9F2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caps w:val="0"/>
                <w:color w:val="auto"/>
                <w:sz w:val="21"/>
                <w:szCs w:val="21"/>
                <w:highlight w:val="none"/>
                <w:u w:val="none"/>
                <w:lang w:val="en-US" w:eastAsia="zh-CN"/>
              </w:rPr>
              <w:t>8</w:t>
            </w:r>
          </w:p>
        </w:tc>
        <w:tc>
          <w:tcPr>
            <w:tcW w:w="184" w:type="pct"/>
            <w:tcBorders>
              <w:tl2br w:val="nil"/>
              <w:tr2bl w:val="nil"/>
            </w:tcBorders>
            <w:noWrap w:val="0"/>
            <w:vAlign w:val="center"/>
          </w:tcPr>
          <w:p w14:paraId="3C7E17D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caps w:val="0"/>
                <w:color w:val="auto"/>
                <w:sz w:val="21"/>
                <w:szCs w:val="21"/>
                <w:highlight w:val="none"/>
                <w:u w:val="none"/>
                <w:lang w:val="en-US" w:eastAsia="zh-CN"/>
              </w:rPr>
              <w:t>43</w:t>
            </w:r>
          </w:p>
        </w:tc>
        <w:tc>
          <w:tcPr>
            <w:tcW w:w="227" w:type="pct"/>
            <w:tcBorders>
              <w:tl2br w:val="nil"/>
              <w:tr2bl w:val="nil"/>
            </w:tcBorders>
            <w:noWrap w:val="0"/>
            <w:vAlign w:val="center"/>
          </w:tcPr>
          <w:p w14:paraId="2AE408B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64.9 </w:t>
            </w:r>
          </w:p>
        </w:tc>
        <w:tc>
          <w:tcPr>
            <w:tcW w:w="227" w:type="pct"/>
            <w:tcBorders>
              <w:tl2br w:val="nil"/>
              <w:tr2bl w:val="nil"/>
            </w:tcBorders>
            <w:noWrap w:val="0"/>
            <w:vAlign w:val="center"/>
          </w:tcPr>
          <w:p w14:paraId="52B881B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56.1 </w:t>
            </w:r>
          </w:p>
        </w:tc>
        <w:tc>
          <w:tcPr>
            <w:tcW w:w="227" w:type="pct"/>
            <w:tcBorders>
              <w:tl2br w:val="nil"/>
              <w:tr2bl w:val="nil"/>
            </w:tcBorders>
            <w:noWrap w:val="0"/>
            <w:vAlign w:val="center"/>
          </w:tcPr>
          <w:p w14:paraId="48B492B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57.4 </w:t>
            </w:r>
          </w:p>
        </w:tc>
        <w:tc>
          <w:tcPr>
            <w:tcW w:w="230" w:type="pct"/>
            <w:tcBorders>
              <w:tl2br w:val="nil"/>
              <w:tr2bl w:val="nil"/>
            </w:tcBorders>
            <w:noWrap w:val="0"/>
            <w:vAlign w:val="center"/>
          </w:tcPr>
          <w:p w14:paraId="6058554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39.2 </w:t>
            </w:r>
          </w:p>
        </w:tc>
        <w:tc>
          <w:tcPr>
            <w:tcW w:w="188" w:type="pct"/>
            <w:vMerge w:val="restart"/>
            <w:tcBorders>
              <w:tl2br w:val="nil"/>
              <w:tr2bl w:val="nil"/>
            </w:tcBorders>
            <w:noWrap w:val="0"/>
            <w:vAlign w:val="center"/>
          </w:tcPr>
          <w:p w14:paraId="3D11F2F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20h</w:t>
            </w:r>
          </w:p>
        </w:tc>
        <w:tc>
          <w:tcPr>
            <w:tcW w:w="210" w:type="pct"/>
            <w:tcBorders>
              <w:tl2br w:val="nil"/>
              <w:tr2bl w:val="nil"/>
            </w:tcBorders>
            <w:noWrap w:val="0"/>
            <w:vAlign w:val="center"/>
          </w:tcPr>
          <w:p w14:paraId="505A9E1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Cs/>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w:t>
            </w:r>
          </w:p>
        </w:tc>
        <w:tc>
          <w:tcPr>
            <w:tcW w:w="171" w:type="pct"/>
            <w:tcBorders>
              <w:tl2br w:val="nil"/>
              <w:tr2bl w:val="nil"/>
            </w:tcBorders>
            <w:noWrap w:val="0"/>
            <w:vAlign w:val="center"/>
          </w:tcPr>
          <w:p w14:paraId="288908F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44.9 </w:t>
            </w:r>
          </w:p>
        </w:tc>
        <w:tc>
          <w:tcPr>
            <w:tcW w:w="187" w:type="pct"/>
            <w:tcBorders>
              <w:tl2br w:val="nil"/>
              <w:tr2bl w:val="nil"/>
            </w:tcBorders>
            <w:noWrap w:val="0"/>
            <w:vAlign w:val="center"/>
          </w:tcPr>
          <w:p w14:paraId="621002B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36.1 </w:t>
            </w:r>
          </w:p>
        </w:tc>
        <w:tc>
          <w:tcPr>
            <w:tcW w:w="152" w:type="pct"/>
            <w:tcBorders>
              <w:tl2br w:val="nil"/>
              <w:tr2bl w:val="nil"/>
            </w:tcBorders>
            <w:noWrap w:val="0"/>
            <w:vAlign w:val="center"/>
          </w:tcPr>
          <w:p w14:paraId="271A3B2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37.4 </w:t>
            </w:r>
          </w:p>
        </w:tc>
        <w:tc>
          <w:tcPr>
            <w:tcW w:w="178" w:type="pct"/>
            <w:tcBorders>
              <w:tl2br w:val="nil"/>
              <w:tr2bl w:val="nil"/>
            </w:tcBorders>
            <w:noWrap w:val="0"/>
            <w:vAlign w:val="center"/>
          </w:tcPr>
          <w:p w14:paraId="0690722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19.2 </w:t>
            </w:r>
          </w:p>
        </w:tc>
        <w:tc>
          <w:tcPr>
            <w:tcW w:w="146" w:type="pct"/>
            <w:tcBorders>
              <w:tl2br w:val="nil"/>
              <w:tr2bl w:val="nil"/>
            </w:tcBorders>
            <w:noWrap w:val="0"/>
            <w:vAlign w:val="center"/>
          </w:tcPr>
          <w:p w14:paraId="4325B89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宋体"/>
                <w:bCs/>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w:t>
            </w:r>
          </w:p>
        </w:tc>
      </w:tr>
      <w:tr w14:paraId="71E6CE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8" w:type="pct"/>
            <w:tcBorders>
              <w:tl2br w:val="nil"/>
              <w:tr2bl w:val="nil"/>
            </w:tcBorders>
            <w:noWrap w:val="0"/>
            <w:vAlign w:val="center"/>
          </w:tcPr>
          <w:p w14:paraId="7EC2474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w:t>
            </w:r>
          </w:p>
        </w:tc>
        <w:tc>
          <w:tcPr>
            <w:tcW w:w="263" w:type="pct"/>
            <w:vMerge w:val="continue"/>
            <w:tcBorders>
              <w:tl2br w:val="nil"/>
              <w:tr2bl w:val="nil"/>
            </w:tcBorders>
            <w:noWrap w:val="0"/>
            <w:vAlign w:val="center"/>
          </w:tcPr>
          <w:p w14:paraId="22BDBB1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p>
        </w:tc>
        <w:tc>
          <w:tcPr>
            <w:tcW w:w="247" w:type="pct"/>
            <w:tcBorders>
              <w:tl2br w:val="nil"/>
              <w:tr2bl w:val="nil"/>
            </w:tcBorders>
            <w:noWrap w:val="0"/>
            <w:vAlign w:val="center"/>
          </w:tcPr>
          <w:p w14:paraId="02EA85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default" w:ascii="Times New Roman" w:hAnsi="Times New Roman" w:eastAsia="宋体" w:cs="宋体"/>
                <w:bCs w:val="0"/>
                <w:caps w:val="0"/>
                <w:spacing w:val="0"/>
                <w:sz w:val="21"/>
                <w:szCs w:val="21"/>
                <w:highlight w:val="none"/>
                <w:lang w:val="en-US" w:eastAsia="zh-CN" w:bidi="ar"/>
              </w:rPr>
            </w:pPr>
            <w:r>
              <w:rPr>
                <w:rStyle w:val="135"/>
                <w:rFonts w:hint="eastAsia" w:ascii="Times New Roman" w:hAnsi="Times New Roman" w:eastAsia="宋体" w:cs="宋体"/>
                <w:bCs w:val="0"/>
                <w:caps w:val="0"/>
                <w:spacing w:val="0"/>
                <w:sz w:val="21"/>
                <w:szCs w:val="21"/>
                <w:highlight w:val="none"/>
                <w:lang w:val="en-US" w:eastAsia="zh-CN" w:bidi="ar"/>
              </w:rPr>
              <w:t>风机</w:t>
            </w:r>
          </w:p>
        </w:tc>
        <w:tc>
          <w:tcPr>
            <w:tcW w:w="317" w:type="pct"/>
            <w:tcBorders>
              <w:tl2br w:val="nil"/>
              <w:tr2bl w:val="nil"/>
            </w:tcBorders>
            <w:noWrap w:val="0"/>
            <w:vAlign w:val="center"/>
          </w:tcPr>
          <w:p w14:paraId="209148B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spacing w:val="0"/>
                <w:sz w:val="21"/>
                <w:szCs w:val="21"/>
                <w:highlight w:val="none"/>
                <w:lang w:val="en-US" w:eastAsia="zh-CN"/>
              </w:rPr>
              <w:t>/</w:t>
            </w:r>
          </w:p>
        </w:tc>
        <w:tc>
          <w:tcPr>
            <w:tcW w:w="268" w:type="pct"/>
            <w:tcBorders>
              <w:tl2br w:val="nil"/>
              <w:tr2bl w:val="nil"/>
            </w:tcBorders>
            <w:noWrap w:val="0"/>
            <w:vAlign w:val="center"/>
          </w:tcPr>
          <w:p w14:paraId="10DC062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70</w:t>
            </w:r>
          </w:p>
        </w:tc>
        <w:tc>
          <w:tcPr>
            <w:tcW w:w="248" w:type="pct"/>
            <w:vMerge w:val="continue"/>
            <w:tcBorders>
              <w:tl2br w:val="nil"/>
              <w:tr2bl w:val="nil"/>
            </w:tcBorders>
            <w:noWrap w:val="0"/>
            <w:vAlign w:val="center"/>
          </w:tcPr>
          <w:p w14:paraId="0822B8A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197" w:type="pct"/>
            <w:tcBorders>
              <w:tl2br w:val="nil"/>
              <w:tr2bl w:val="nil"/>
            </w:tcBorders>
            <w:noWrap w:val="0"/>
            <w:vAlign w:val="center"/>
          </w:tcPr>
          <w:p w14:paraId="506935A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40</w:t>
            </w:r>
          </w:p>
        </w:tc>
        <w:tc>
          <w:tcPr>
            <w:tcW w:w="197" w:type="pct"/>
            <w:tcBorders>
              <w:tl2br w:val="nil"/>
              <w:tr2bl w:val="nil"/>
            </w:tcBorders>
            <w:noWrap w:val="0"/>
            <w:vAlign w:val="center"/>
          </w:tcPr>
          <w:p w14:paraId="4A94A33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18</w:t>
            </w:r>
          </w:p>
        </w:tc>
        <w:tc>
          <w:tcPr>
            <w:tcW w:w="197" w:type="pct"/>
            <w:tcBorders>
              <w:tl2br w:val="nil"/>
              <w:tr2bl w:val="nil"/>
            </w:tcBorders>
            <w:noWrap w:val="0"/>
            <w:vAlign w:val="center"/>
          </w:tcPr>
          <w:p w14:paraId="41A4EBA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w:t>
            </w:r>
          </w:p>
        </w:tc>
        <w:tc>
          <w:tcPr>
            <w:tcW w:w="180" w:type="pct"/>
            <w:tcBorders>
              <w:tl2br w:val="nil"/>
              <w:tr2bl w:val="nil"/>
            </w:tcBorders>
            <w:noWrap w:val="0"/>
            <w:vAlign w:val="center"/>
          </w:tcPr>
          <w:p w14:paraId="76EB643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caps w:val="0"/>
                <w:color w:val="auto"/>
                <w:sz w:val="21"/>
                <w:szCs w:val="21"/>
                <w:highlight w:val="none"/>
                <w:u w:val="none"/>
                <w:lang w:val="en-US" w:eastAsia="zh-CN"/>
              </w:rPr>
              <w:t>4</w:t>
            </w:r>
          </w:p>
        </w:tc>
        <w:tc>
          <w:tcPr>
            <w:tcW w:w="180" w:type="pct"/>
            <w:tcBorders>
              <w:tl2br w:val="nil"/>
              <w:tr2bl w:val="nil"/>
            </w:tcBorders>
            <w:noWrap w:val="0"/>
            <w:vAlign w:val="center"/>
          </w:tcPr>
          <w:p w14:paraId="4C3CBCA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caps w:val="0"/>
                <w:color w:val="auto"/>
                <w:sz w:val="21"/>
                <w:szCs w:val="21"/>
                <w:highlight w:val="none"/>
                <w:u w:val="none"/>
                <w:lang w:val="en-US" w:eastAsia="zh-CN"/>
              </w:rPr>
              <w:t>7</w:t>
            </w:r>
          </w:p>
        </w:tc>
        <w:tc>
          <w:tcPr>
            <w:tcW w:w="180" w:type="pct"/>
            <w:tcBorders>
              <w:tl2br w:val="nil"/>
              <w:tr2bl w:val="nil"/>
            </w:tcBorders>
            <w:noWrap w:val="0"/>
            <w:vAlign w:val="center"/>
          </w:tcPr>
          <w:p w14:paraId="342A0DA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caps w:val="0"/>
                <w:color w:val="auto"/>
                <w:sz w:val="21"/>
                <w:szCs w:val="21"/>
                <w:highlight w:val="none"/>
                <w:u w:val="none"/>
                <w:lang w:val="en-US" w:eastAsia="zh-CN"/>
              </w:rPr>
              <w:t>8</w:t>
            </w:r>
          </w:p>
        </w:tc>
        <w:tc>
          <w:tcPr>
            <w:tcW w:w="184" w:type="pct"/>
            <w:tcBorders>
              <w:tl2br w:val="nil"/>
              <w:tr2bl w:val="nil"/>
            </w:tcBorders>
            <w:noWrap w:val="0"/>
            <w:vAlign w:val="center"/>
          </w:tcPr>
          <w:p w14:paraId="3C0234C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caps w:val="0"/>
                <w:color w:val="auto"/>
                <w:sz w:val="21"/>
                <w:szCs w:val="21"/>
                <w:highlight w:val="none"/>
                <w:u w:val="none"/>
                <w:lang w:val="en-US" w:eastAsia="zh-CN"/>
              </w:rPr>
              <w:t>45</w:t>
            </w:r>
          </w:p>
        </w:tc>
        <w:tc>
          <w:tcPr>
            <w:tcW w:w="227" w:type="pct"/>
            <w:tcBorders>
              <w:tl2br w:val="nil"/>
              <w:tr2bl w:val="nil"/>
            </w:tcBorders>
            <w:noWrap w:val="0"/>
            <w:vAlign w:val="center"/>
          </w:tcPr>
          <w:p w14:paraId="06E5D22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58.0 </w:t>
            </w:r>
          </w:p>
        </w:tc>
        <w:tc>
          <w:tcPr>
            <w:tcW w:w="227" w:type="pct"/>
            <w:tcBorders>
              <w:tl2br w:val="nil"/>
              <w:tr2bl w:val="nil"/>
            </w:tcBorders>
            <w:noWrap w:val="0"/>
            <w:vAlign w:val="center"/>
          </w:tcPr>
          <w:p w14:paraId="07E736F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53.1 </w:t>
            </w:r>
          </w:p>
        </w:tc>
        <w:tc>
          <w:tcPr>
            <w:tcW w:w="227" w:type="pct"/>
            <w:tcBorders>
              <w:tl2br w:val="nil"/>
              <w:tr2bl w:val="nil"/>
            </w:tcBorders>
            <w:noWrap w:val="0"/>
            <w:vAlign w:val="center"/>
          </w:tcPr>
          <w:p w14:paraId="441AC99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51.9 </w:t>
            </w:r>
          </w:p>
        </w:tc>
        <w:tc>
          <w:tcPr>
            <w:tcW w:w="230" w:type="pct"/>
            <w:tcBorders>
              <w:tl2br w:val="nil"/>
              <w:tr2bl w:val="nil"/>
            </w:tcBorders>
            <w:noWrap w:val="0"/>
            <w:vAlign w:val="center"/>
          </w:tcPr>
          <w:p w14:paraId="2D5A1EA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36.9 </w:t>
            </w:r>
          </w:p>
        </w:tc>
        <w:tc>
          <w:tcPr>
            <w:tcW w:w="188" w:type="pct"/>
            <w:vMerge w:val="continue"/>
            <w:tcBorders>
              <w:tl2br w:val="nil"/>
              <w:tr2bl w:val="nil"/>
            </w:tcBorders>
            <w:noWrap w:val="0"/>
            <w:vAlign w:val="center"/>
          </w:tcPr>
          <w:p w14:paraId="36FABF1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10" w:type="pct"/>
            <w:tcBorders>
              <w:tl2br w:val="nil"/>
              <w:tr2bl w:val="nil"/>
            </w:tcBorders>
            <w:noWrap w:val="0"/>
            <w:vAlign w:val="center"/>
          </w:tcPr>
          <w:p w14:paraId="1C8A262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w:t>
            </w:r>
          </w:p>
        </w:tc>
        <w:tc>
          <w:tcPr>
            <w:tcW w:w="171" w:type="pct"/>
            <w:tcBorders>
              <w:tl2br w:val="nil"/>
              <w:tr2bl w:val="nil"/>
            </w:tcBorders>
            <w:noWrap w:val="0"/>
            <w:vAlign w:val="center"/>
          </w:tcPr>
          <w:p w14:paraId="6EADDF1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38.0 </w:t>
            </w:r>
          </w:p>
        </w:tc>
        <w:tc>
          <w:tcPr>
            <w:tcW w:w="187" w:type="pct"/>
            <w:tcBorders>
              <w:tl2br w:val="nil"/>
              <w:tr2bl w:val="nil"/>
            </w:tcBorders>
            <w:noWrap w:val="0"/>
            <w:vAlign w:val="center"/>
          </w:tcPr>
          <w:p w14:paraId="1F4129B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33.1 </w:t>
            </w:r>
          </w:p>
        </w:tc>
        <w:tc>
          <w:tcPr>
            <w:tcW w:w="152" w:type="pct"/>
            <w:tcBorders>
              <w:tl2br w:val="nil"/>
              <w:tr2bl w:val="nil"/>
            </w:tcBorders>
            <w:noWrap w:val="0"/>
            <w:vAlign w:val="center"/>
          </w:tcPr>
          <w:p w14:paraId="31C232B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31.9 </w:t>
            </w:r>
          </w:p>
        </w:tc>
        <w:tc>
          <w:tcPr>
            <w:tcW w:w="178" w:type="pct"/>
            <w:tcBorders>
              <w:tl2br w:val="nil"/>
              <w:tr2bl w:val="nil"/>
            </w:tcBorders>
            <w:noWrap w:val="0"/>
            <w:vAlign w:val="center"/>
          </w:tcPr>
          <w:p w14:paraId="047A984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16.9 </w:t>
            </w:r>
          </w:p>
        </w:tc>
        <w:tc>
          <w:tcPr>
            <w:tcW w:w="146" w:type="pct"/>
            <w:tcBorders>
              <w:tl2br w:val="nil"/>
              <w:tr2bl w:val="nil"/>
            </w:tcBorders>
            <w:noWrap w:val="0"/>
            <w:vAlign w:val="center"/>
          </w:tcPr>
          <w:p w14:paraId="7F4D25B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w:t>
            </w:r>
          </w:p>
        </w:tc>
      </w:tr>
      <w:tr w14:paraId="6DA811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8" w:type="pct"/>
            <w:tcBorders>
              <w:tl2br w:val="nil"/>
              <w:tr2bl w:val="nil"/>
            </w:tcBorders>
            <w:shd w:val="clear" w:color="auto" w:fill="auto"/>
            <w:noWrap w:val="0"/>
            <w:vAlign w:val="center"/>
          </w:tcPr>
          <w:p w14:paraId="72E328B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Cs/>
                <w:caps w:val="0"/>
                <w:spacing w:val="0"/>
                <w:kern w:val="2"/>
                <w:sz w:val="21"/>
                <w:szCs w:val="21"/>
                <w:highlight w:val="none"/>
                <w:vertAlign w:val="baseline"/>
                <w:lang w:val="en-US" w:eastAsia="zh-CN" w:bidi="ar-SA"/>
              </w:rPr>
            </w:pPr>
            <w:r>
              <w:rPr>
                <w:rFonts w:hint="eastAsia" w:ascii="Times New Roman" w:hAnsi="Times New Roman" w:eastAsia="宋体" w:cs="宋体"/>
                <w:caps w:val="0"/>
                <w:spacing w:val="0"/>
                <w:sz w:val="21"/>
                <w:szCs w:val="21"/>
                <w:highlight w:val="none"/>
                <w:vertAlign w:val="baseline"/>
                <w:lang w:val="en-US" w:eastAsia="zh-CN"/>
              </w:rPr>
              <w:t>3</w:t>
            </w:r>
          </w:p>
        </w:tc>
        <w:tc>
          <w:tcPr>
            <w:tcW w:w="263" w:type="pct"/>
            <w:vMerge w:val="continue"/>
            <w:tcBorders>
              <w:tl2br w:val="nil"/>
              <w:tr2bl w:val="nil"/>
            </w:tcBorders>
            <w:noWrap w:val="0"/>
            <w:vAlign w:val="center"/>
          </w:tcPr>
          <w:p w14:paraId="5DF5842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p>
        </w:tc>
        <w:tc>
          <w:tcPr>
            <w:tcW w:w="247" w:type="pct"/>
            <w:tcBorders>
              <w:tl2br w:val="nil"/>
              <w:tr2bl w:val="nil"/>
            </w:tcBorders>
            <w:noWrap w:val="0"/>
            <w:vAlign w:val="center"/>
          </w:tcPr>
          <w:p w14:paraId="60846BB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default" w:ascii="Times New Roman" w:hAnsi="Times New Roman" w:eastAsia="宋体" w:cs="宋体"/>
                <w:bCs w:val="0"/>
                <w:caps w:val="0"/>
                <w:spacing w:val="0"/>
                <w:sz w:val="21"/>
                <w:szCs w:val="21"/>
                <w:highlight w:val="none"/>
                <w:lang w:val="en-US" w:eastAsia="zh-CN" w:bidi="ar"/>
              </w:rPr>
            </w:pPr>
            <w:r>
              <w:rPr>
                <w:rStyle w:val="135"/>
                <w:rFonts w:hint="eastAsia" w:ascii="Times New Roman" w:hAnsi="Times New Roman" w:cs="宋体"/>
                <w:bCs w:val="0"/>
                <w:caps w:val="0"/>
                <w:spacing w:val="0"/>
                <w:sz w:val="21"/>
                <w:szCs w:val="21"/>
                <w:highlight w:val="none"/>
                <w:lang w:val="en-US" w:eastAsia="zh-CN" w:bidi="ar"/>
              </w:rPr>
              <w:t>油泵</w:t>
            </w:r>
          </w:p>
        </w:tc>
        <w:tc>
          <w:tcPr>
            <w:tcW w:w="317" w:type="pct"/>
            <w:tcBorders>
              <w:tl2br w:val="nil"/>
              <w:tr2bl w:val="nil"/>
            </w:tcBorders>
            <w:noWrap w:val="0"/>
            <w:vAlign w:val="center"/>
          </w:tcPr>
          <w:p w14:paraId="18EFEA2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宋体"/>
                <w:caps w:val="0"/>
                <w:spacing w:val="0"/>
                <w:sz w:val="21"/>
                <w:szCs w:val="21"/>
                <w:highlight w:val="none"/>
                <w:lang w:val="en-US" w:eastAsia="zh-CN"/>
              </w:rPr>
            </w:pPr>
            <w:r>
              <w:rPr>
                <w:rFonts w:hint="eastAsia" w:ascii="Times New Roman" w:hAnsi="Times New Roman" w:cs="宋体"/>
                <w:caps w:val="0"/>
                <w:spacing w:val="0"/>
                <w:sz w:val="21"/>
                <w:szCs w:val="21"/>
                <w:highlight w:val="none"/>
                <w:lang w:val="en-US" w:eastAsia="zh-CN"/>
              </w:rPr>
              <w:t>/</w:t>
            </w:r>
          </w:p>
        </w:tc>
        <w:tc>
          <w:tcPr>
            <w:tcW w:w="268" w:type="pct"/>
            <w:tcBorders>
              <w:tl2br w:val="nil"/>
              <w:tr2bl w:val="nil"/>
            </w:tcBorders>
            <w:noWrap w:val="0"/>
            <w:vAlign w:val="center"/>
          </w:tcPr>
          <w:p w14:paraId="3398476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cs="宋体"/>
                <w:caps w:val="0"/>
                <w:spacing w:val="0"/>
                <w:sz w:val="21"/>
                <w:szCs w:val="21"/>
                <w:highlight w:val="none"/>
                <w:vertAlign w:val="baseline"/>
                <w:lang w:val="en-US" w:eastAsia="zh-CN"/>
              </w:rPr>
              <w:t>60</w:t>
            </w:r>
          </w:p>
        </w:tc>
        <w:tc>
          <w:tcPr>
            <w:tcW w:w="248" w:type="pct"/>
            <w:vMerge w:val="continue"/>
            <w:tcBorders>
              <w:tl2br w:val="nil"/>
              <w:tr2bl w:val="nil"/>
            </w:tcBorders>
            <w:noWrap w:val="0"/>
            <w:vAlign w:val="center"/>
          </w:tcPr>
          <w:p w14:paraId="166FE33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197" w:type="pct"/>
            <w:tcBorders>
              <w:tl2br w:val="nil"/>
              <w:tr2bl w:val="nil"/>
            </w:tcBorders>
            <w:noWrap w:val="0"/>
            <w:vAlign w:val="center"/>
          </w:tcPr>
          <w:p w14:paraId="5374B24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40</w:t>
            </w:r>
          </w:p>
        </w:tc>
        <w:tc>
          <w:tcPr>
            <w:tcW w:w="197" w:type="pct"/>
            <w:tcBorders>
              <w:tl2br w:val="nil"/>
              <w:tr2bl w:val="nil"/>
            </w:tcBorders>
            <w:noWrap w:val="0"/>
            <w:vAlign w:val="center"/>
          </w:tcPr>
          <w:p w14:paraId="5C1B160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w:t>
            </w:r>
          </w:p>
        </w:tc>
        <w:tc>
          <w:tcPr>
            <w:tcW w:w="197" w:type="pct"/>
            <w:tcBorders>
              <w:tl2br w:val="nil"/>
              <w:tr2bl w:val="nil"/>
            </w:tcBorders>
            <w:noWrap w:val="0"/>
            <w:vAlign w:val="center"/>
          </w:tcPr>
          <w:p w14:paraId="1982252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w:t>
            </w:r>
          </w:p>
        </w:tc>
        <w:tc>
          <w:tcPr>
            <w:tcW w:w="180" w:type="pct"/>
            <w:tcBorders>
              <w:tl2br w:val="nil"/>
              <w:tr2bl w:val="nil"/>
            </w:tcBorders>
            <w:noWrap w:val="0"/>
            <w:vAlign w:val="center"/>
          </w:tcPr>
          <w:p w14:paraId="2723B5C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4</w:t>
            </w:r>
          </w:p>
        </w:tc>
        <w:tc>
          <w:tcPr>
            <w:tcW w:w="180" w:type="pct"/>
            <w:tcBorders>
              <w:tl2br w:val="nil"/>
              <w:tr2bl w:val="nil"/>
            </w:tcBorders>
            <w:noWrap w:val="0"/>
            <w:vAlign w:val="center"/>
          </w:tcPr>
          <w:p w14:paraId="349D2A1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9</w:t>
            </w:r>
          </w:p>
        </w:tc>
        <w:tc>
          <w:tcPr>
            <w:tcW w:w="180" w:type="pct"/>
            <w:tcBorders>
              <w:tl2br w:val="nil"/>
              <w:tr2bl w:val="nil"/>
            </w:tcBorders>
            <w:noWrap w:val="0"/>
            <w:vAlign w:val="center"/>
          </w:tcPr>
          <w:p w14:paraId="760060B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8</w:t>
            </w:r>
          </w:p>
        </w:tc>
        <w:tc>
          <w:tcPr>
            <w:tcW w:w="184" w:type="pct"/>
            <w:tcBorders>
              <w:tl2br w:val="nil"/>
              <w:tr2bl w:val="nil"/>
            </w:tcBorders>
            <w:noWrap w:val="0"/>
            <w:vAlign w:val="center"/>
          </w:tcPr>
          <w:p w14:paraId="472D818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43</w:t>
            </w:r>
          </w:p>
        </w:tc>
        <w:tc>
          <w:tcPr>
            <w:tcW w:w="227" w:type="pct"/>
            <w:tcBorders>
              <w:tl2br w:val="nil"/>
              <w:tr2bl w:val="nil"/>
            </w:tcBorders>
            <w:noWrap w:val="0"/>
            <w:vAlign w:val="center"/>
          </w:tcPr>
          <w:p w14:paraId="4CE324B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48.0 </w:t>
            </w:r>
          </w:p>
        </w:tc>
        <w:tc>
          <w:tcPr>
            <w:tcW w:w="227" w:type="pct"/>
            <w:tcBorders>
              <w:tl2br w:val="nil"/>
              <w:tr2bl w:val="nil"/>
            </w:tcBorders>
            <w:noWrap w:val="0"/>
            <w:vAlign w:val="center"/>
          </w:tcPr>
          <w:p w14:paraId="6D897B3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40.9 </w:t>
            </w:r>
          </w:p>
        </w:tc>
        <w:tc>
          <w:tcPr>
            <w:tcW w:w="227" w:type="pct"/>
            <w:tcBorders>
              <w:tl2br w:val="nil"/>
              <w:tr2bl w:val="nil"/>
            </w:tcBorders>
            <w:noWrap w:val="0"/>
            <w:vAlign w:val="center"/>
          </w:tcPr>
          <w:p w14:paraId="34FF15A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41.9 </w:t>
            </w:r>
          </w:p>
        </w:tc>
        <w:tc>
          <w:tcPr>
            <w:tcW w:w="230" w:type="pct"/>
            <w:tcBorders>
              <w:tl2br w:val="nil"/>
              <w:tr2bl w:val="nil"/>
            </w:tcBorders>
            <w:noWrap w:val="0"/>
            <w:vAlign w:val="center"/>
          </w:tcPr>
          <w:p w14:paraId="1DE662E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27.3 </w:t>
            </w:r>
          </w:p>
        </w:tc>
        <w:tc>
          <w:tcPr>
            <w:tcW w:w="188" w:type="pct"/>
            <w:vMerge w:val="continue"/>
            <w:tcBorders>
              <w:tl2br w:val="nil"/>
              <w:tr2bl w:val="nil"/>
            </w:tcBorders>
            <w:noWrap w:val="0"/>
            <w:vAlign w:val="center"/>
          </w:tcPr>
          <w:p w14:paraId="6790358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10" w:type="pct"/>
            <w:tcBorders>
              <w:tl2br w:val="nil"/>
              <w:tr2bl w:val="nil"/>
            </w:tcBorders>
            <w:noWrap w:val="0"/>
            <w:vAlign w:val="center"/>
          </w:tcPr>
          <w:p w14:paraId="36DB9C0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cs="宋体"/>
                <w:caps w:val="0"/>
                <w:spacing w:val="0"/>
                <w:sz w:val="21"/>
                <w:szCs w:val="21"/>
                <w:highlight w:val="none"/>
                <w:vertAlign w:val="baseline"/>
                <w:lang w:val="en-US" w:eastAsia="zh-CN"/>
              </w:rPr>
              <w:t>20</w:t>
            </w:r>
          </w:p>
        </w:tc>
        <w:tc>
          <w:tcPr>
            <w:tcW w:w="171" w:type="pct"/>
            <w:tcBorders>
              <w:tl2br w:val="nil"/>
              <w:tr2bl w:val="nil"/>
            </w:tcBorders>
            <w:noWrap w:val="0"/>
            <w:vAlign w:val="center"/>
          </w:tcPr>
          <w:p w14:paraId="478328B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28.0 </w:t>
            </w:r>
          </w:p>
        </w:tc>
        <w:tc>
          <w:tcPr>
            <w:tcW w:w="187" w:type="pct"/>
            <w:tcBorders>
              <w:tl2br w:val="nil"/>
              <w:tr2bl w:val="nil"/>
            </w:tcBorders>
            <w:noWrap w:val="0"/>
            <w:vAlign w:val="center"/>
          </w:tcPr>
          <w:p w14:paraId="61484AF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20.9 </w:t>
            </w:r>
          </w:p>
        </w:tc>
        <w:tc>
          <w:tcPr>
            <w:tcW w:w="152" w:type="pct"/>
            <w:tcBorders>
              <w:tl2br w:val="nil"/>
              <w:tr2bl w:val="nil"/>
            </w:tcBorders>
            <w:noWrap w:val="0"/>
            <w:vAlign w:val="center"/>
          </w:tcPr>
          <w:p w14:paraId="124B40E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21.9 </w:t>
            </w:r>
          </w:p>
        </w:tc>
        <w:tc>
          <w:tcPr>
            <w:tcW w:w="178" w:type="pct"/>
            <w:tcBorders>
              <w:tl2br w:val="nil"/>
              <w:tr2bl w:val="nil"/>
            </w:tcBorders>
            <w:noWrap w:val="0"/>
            <w:vAlign w:val="center"/>
          </w:tcPr>
          <w:p w14:paraId="30F37EA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7.3 </w:t>
            </w:r>
          </w:p>
        </w:tc>
        <w:tc>
          <w:tcPr>
            <w:tcW w:w="146" w:type="pct"/>
            <w:tcBorders>
              <w:tl2br w:val="nil"/>
              <w:tr2bl w:val="nil"/>
            </w:tcBorders>
            <w:noWrap w:val="0"/>
            <w:vAlign w:val="center"/>
          </w:tcPr>
          <w:p w14:paraId="4DC2D2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cs="宋体"/>
                <w:caps w:val="0"/>
                <w:spacing w:val="0"/>
                <w:sz w:val="21"/>
                <w:szCs w:val="21"/>
                <w:highlight w:val="none"/>
                <w:vertAlign w:val="baseline"/>
                <w:lang w:val="en-US" w:eastAsia="zh-CN"/>
              </w:rPr>
              <w:t>1</w:t>
            </w:r>
          </w:p>
        </w:tc>
      </w:tr>
      <w:tr w14:paraId="19162F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8" w:type="pct"/>
            <w:tcBorders>
              <w:tl2br w:val="nil"/>
              <w:tr2bl w:val="nil"/>
            </w:tcBorders>
            <w:shd w:val="clear" w:color="auto" w:fill="auto"/>
            <w:noWrap w:val="0"/>
            <w:vAlign w:val="center"/>
          </w:tcPr>
          <w:p w14:paraId="7FD180B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Cs/>
                <w:caps w:val="0"/>
                <w:spacing w:val="0"/>
                <w:kern w:val="2"/>
                <w:sz w:val="21"/>
                <w:szCs w:val="21"/>
                <w:highlight w:val="none"/>
                <w:vertAlign w:val="baseline"/>
                <w:lang w:val="en-US" w:eastAsia="zh-CN" w:bidi="ar-SA"/>
              </w:rPr>
            </w:pPr>
            <w:r>
              <w:rPr>
                <w:rFonts w:hint="eastAsia" w:ascii="Times New Roman" w:hAnsi="Times New Roman" w:eastAsia="宋体" w:cs="宋体"/>
                <w:caps w:val="0"/>
                <w:spacing w:val="0"/>
                <w:sz w:val="21"/>
                <w:szCs w:val="21"/>
                <w:highlight w:val="none"/>
                <w:vertAlign w:val="baseline"/>
                <w:lang w:val="en-US" w:eastAsia="zh-CN"/>
              </w:rPr>
              <w:t>4</w:t>
            </w:r>
          </w:p>
        </w:tc>
        <w:tc>
          <w:tcPr>
            <w:tcW w:w="263" w:type="pct"/>
            <w:vMerge w:val="restart"/>
            <w:tcBorders>
              <w:tl2br w:val="nil"/>
              <w:tr2bl w:val="nil"/>
            </w:tcBorders>
            <w:noWrap w:val="0"/>
            <w:vAlign w:val="center"/>
          </w:tcPr>
          <w:p w14:paraId="6B23AAC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石墨烘干车间</w:t>
            </w:r>
          </w:p>
        </w:tc>
        <w:tc>
          <w:tcPr>
            <w:tcW w:w="247" w:type="pct"/>
            <w:tcBorders>
              <w:tl2br w:val="nil"/>
              <w:tr2bl w:val="nil"/>
            </w:tcBorders>
            <w:noWrap w:val="0"/>
            <w:vAlign w:val="center"/>
          </w:tcPr>
          <w:p w14:paraId="204731E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eastAsia" w:ascii="Times New Roman" w:hAnsi="Times New Roman" w:eastAsia="宋体" w:cs="宋体"/>
                <w:bCs w:val="0"/>
                <w:caps w:val="0"/>
                <w:spacing w:val="0"/>
                <w:sz w:val="21"/>
                <w:szCs w:val="21"/>
                <w:highlight w:val="none"/>
                <w:lang w:val="en-US" w:eastAsia="zh-CN" w:bidi="ar"/>
              </w:rPr>
            </w:pPr>
            <w:r>
              <w:rPr>
                <w:rStyle w:val="135"/>
                <w:rFonts w:hint="eastAsia" w:ascii="Times New Roman" w:hAnsi="Times New Roman" w:eastAsia="宋体" w:cs="宋体"/>
                <w:bCs w:val="0"/>
                <w:caps w:val="0"/>
                <w:spacing w:val="0"/>
                <w:sz w:val="21"/>
                <w:szCs w:val="21"/>
                <w:highlight w:val="none"/>
                <w:lang w:val="en-US" w:eastAsia="zh-CN" w:bidi="ar"/>
              </w:rPr>
              <w:t>导热油炉</w:t>
            </w:r>
          </w:p>
        </w:tc>
        <w:tc>
          <w:tcPr>
            <w:tcW w:w="317" w:type="pct"/>
            <w:tcBorders>
              <w:tl2br w:val="nil"/>
              <w:tr2bl w:val="nil"/>
            </w:tcBorders>
            <w:noWrap w:val="0"/>
            <w:vAlign w:val="center"/>
          </w:tcPr>
          <w:p w14:paraId="22BD19C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color w:val="000000"/>
                <w:spacing w:val="0"/>
                <w:sz w:val="21"/>
                <w:szCs w:val="21"/>
                <w:highlight w:val="none"/>
                <w:vertAlign w:val="baseline"/>
                <w:lang w:val="en-US" w:eastAsia="zh-CN"/>
              </w:rPr>
              <w:t>0.35MW</w:t>
            </w:r>
          </w:p>
        </w:tc>
        <w:tc>
          <w:tcPr>
            <w:tcW w:w="268" w:type="pct"/>
            <w:tcBorders>
              <w:tl2br w:val="nil"/>
              <w:tr2bl w:val="nil"/>
            </w:tcBorders>
            <w:noWrap w:val="0"/>
            <w:vAlign w:val="center"/>
          </w:tcPr>
          <w:p w14:paraId="2224A57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80</w:t>
            </w:r>
          </w:p>
        </w:tc>
        <w:tc>
          <w:tcPr>
            <w:tcW w:w="248" w:type="pct"/>
            <w:vMerge w:val="continue"/>
            <w:tcBorders>
              <w:tl2br w:val="nil"/>
              <w:tr2bl w:val="nil"/>
            </w:tcBorders>
            <w:noWrap w:val="0"/>
            <w:vAlign w:val="center"/>
          </w:tcPr>
          <w:p w14:paraId="5E78410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197" w:type="pct"/>
            <w:tcBorders>
              <w:tl2br w:val="nil"/>
              <w:tr2bl w:val="nil"/>
            </w:tcBorders>
            <w:noWrap w:val="0"/>
            <w:vAlign w:val="center"/>
          </w:tcPr>
          <w:p w14:paraId="2B9665C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-23</w:t>
            </w:r>
          </w:p>
        </w:tc>
        <w:tc>
          <w:tcPr>
            <w:tcW w:w="197" w:type="pct"/>
            <w:tcBorders>
              <w:tl2br w:val="nil"/>
              <w:tr2bl w:val="nil"/>
            </w:tcBorders>
            <w:noWrap w:val="0"/>
            <w:vAlign w:val="center"/>
          </w:tcPr>
          <w:p w14:paraId="4D626DF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-29</w:t>
            </w:r>
          </w:p>
        </w:tc>
        <w:tc>
          <w:tcPr>
            <w:tcW w:w="197" w:type="pct"/>
            <w:tcBorders>
              <w:tl2br w:val="nil"/>
              <w:tr2bl w:val="nil"/>
            </w:tcBorders>
            <w:noWrap w:val="0"/>
            <w:vAlign w:val="center"/>
          </w:tcPr>
          <w:p w14:paraId="714B7B2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w:t>
            </w:r>
          </w:p>
        </w:tc>
        <w:tc>
          <w:tcPr>
            <w:tcW w:w="180" w:type="pct"/>
            <w:tcBorders>
              <w:tl2br w:val="nil"/>
              <w:tr2bl w:val="nil"/>
            </w:tcBorders>
            <w:noWrap w:val="0"/>
            <w:vAlign w:val="center"/>
          </w:tcPr>
          <w:p w14:paraId="75E43C0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15</w:t>
            </w:r>
          </w:p>
        </w:tc>
        <w:tc>
          <w:tcPr>
            <w:tcW w:w="180" w:type="pct"/>
            <w:tcBorders>
              <w:tl2br w:val="nil"/>
              <w:tr2bl w:val="nil"/>
            </w:tcBorders>
            <w:noWrap w:val="0"/>
            <w:vAlign w:val="center"/>
          </w:tcPr>
          <w:p w14:paraId="59706F6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10</w:t>
            </w:r>
          </w:p>
        </w:tc>
        <w:tc>
          <w:tcPr>
            <w:tcW w:w="180" w:type="pct"/>
            <w:tcBorders>
              <w:tl2br w:val="nil"/>
              <w:tr2bl w:val="nil"/>
            </w:tcBorders>
            <w:noWrap w:val="0"/>
            <w:vAlign w:val="center"/>
          </w:tcPr>
          <w:p w14:paraId="6AA972C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15</w:t>
            </w:r>
          </w:p>
        </w:tc>
        <w:tc>
          <w:tcPr>
            <w:tcW w:w="184" w:type="pct"/>
            <w:tcBorders>
              <w:tl2br w:val="nil"/>
              <w:tr2bl w:val="nil"/>
            </w:tcBorders>
            <w:noWrap w:val="0"/>
            <w:vAlign w:val="center"/>
          </w:tcPr>
          <w:p w14:paraId="014FBBF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50</w:t>
            </w:r>
          </w:p>
        </w:tc>
        <w:tc>
          <w:tcPr>
            <w:tcW w:w="227" w:type="pct"/>
            <w:tcBorders>
              <w:tl2br w:val="nil"/>
              <w:tr2bl w:val="nil"/>
            </w:tcBorders>
            <w:noWrap w:val="0"/>
            <w:vAlign w:val="center"/>
          </w:tcPr>
          <w:p w14:paraId="53622DC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56.5 </w:t>
            </w:r>
          </w:p>
        </w:tc>
        <w:tc>
          <w:tcPr>
            <w:tcW w:w="227" w:type="pct"/>
            <w:tcBorders>
              <w:tl2br w:val="nil"/>
              <w:tr2bl w:val="nil"/>
            </w:tcBorders>
            <w:noWrap w:val="0"/>
            <w:vAlign w:val="center"/>
          </w:tcPr>
          <w:p w14:paraId="08CD8F7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60.0 </w:t>
            </w:r>
          </w:p>
        </w:tc>
        <w:tc>
          <w:tcPr>
            <w:tcW w:w="227" w:type="pct"/>
            <w:tcBorders>
              <w:tl2br w:val="nil"/>
              <w:tr2bl w:val="nil"/>
            </w:tcBorders>
            <w:noWrap w:val="0"/>
            <w:vAlign w:val="center"/>
          </w:tcPr>
          <w:p w14:paraId="10EB34A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56.5 </w:t>
            </w:r>
          </w:p>
        </w:tc>
        <w:tc>
          <w:tcPr>
            <w:tcW w:w="230" w:type="pct"/>
            <w:tcBorders>
              <w:tl2br w:val="nil"/>
              <w:tr2bl w:val="nil"/>
            </w:tcBorders>
            <w:noWrap w:val="0"/>
            <w:vAlign w:val="center"/>
          </w:tcPr>
          <w:p w14:paraId="7D4552E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46.0 </w:t>
            </w:r>
          </w:p>
        </w:tc>
        <w:tc>
          <w:tcPr>
            <w:tcW w:w="188" w:type="pct"/>
            <w:vMerge w:val="continue"/>
            <w:tcBorders>
              <w:tl2br w:val="nil"/>
              <w:tr2bl w:val="nil"/>
            </w:tcBorders>
            <w:noWrap w:val="0"/>
            <w:vAlign w:val="center"/>
          </w:tcPr>
          <w:p w14:paraId="6B17BC7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10" w:type="pct"/>
            <w:tcBorders>
              <w:tl2br w:val="nil"/>
              <w:tr2bl w:val="nil"/>
            </w:tcBorders>
            <w:noWrap w:val="0"/>
            <w:vAlign w:val="center"/>
          </w:tcPr>
          <w:p w14:paraId="50F4308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w:t>
            </w:r>
          </w:p>
        </w:tc>
        <w:tc>
          <w:tcPr>
            <w:tcW w:w="171" w:type="pct"/>
            <w:tcBorders>
              <w:tl2br w:val="nil"/>
              <w:tr2bl w:val="nil"/>
            </w:tcBorders>
            <w:noWrap w:val="0"/>
            <w:vAlign w:val="center"/>
          </w:tcPr>
          <w:p w14:paraId="4DF2948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36.5 </w:t>
            </w:r>
          </w:p>
        </w:tc>
        <w:tc>
          <w:tcPr>
            <w:tcW w:w="187" w:type="pct"/>
            <w:tcBorders>
              <w:tl2br w:val="nil"/>
              <w:tr2bl w:val="nil"/>
            </w:tcBorders>
            <w:noWrap w:val="0"/>
            <w:vAlign w:val="center"/>
          </w:tcPr>
          <w:p w14:paraId="6A10E4D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40.0 </w:t>
            </w:r>
          </w:p>
        </w:tc>
        <w:tc>
          <w:tcPr>
            <w:tcW w:w="152" w:type="pct"/>
            <w:tcBorders>
              <w:tl2br w:val="nil"/>
              <w:tr2bl w:val="nil"/>
            </w:tcBorders>
            <w:noWrap w:val="0"/>
            <w:vAlign w:val="center"/>
          </w:tcPr>
          <w:p w14:paraId="1554712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36.5 </w:t>
            </w:r>
          </w:p>
        </w:tc>
        <w:tc>
          <w:tcPr>
            <w:tcW w:w="178" w:type="pct"/>
            <w:tcBorders>
              <w:tl2br w:val="nil"/>
              <w:tr2bl w:val="nil"/>
            </w:tcBorders>
            <w:noWrap w:val="0"/>
            <w:vAlign w:val="center"/>
          </w:tcPr>
          <w:p w14:paraId="4C640BF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26.0 </w:t>
            </w:r>
          </w:p>
        </w:tc>
        <w:tc>
          <w:tcPr>
            <w:tcW w:w="146" w:type="pct"/>
            <w:tcBorders>
              <w:tl2br w:val="nil"/>
              <w:tr2bl w:val="nil"/>
            </w:tcBorders>
            <w:noWrap w:val="0"/>
            <w:vAlign w:val="center"/>
          </w:tcPr>
          <w:p w14:paraId="051080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w:t>
            </w:r>
          </w:p>
        </w:tc>
      </w:tr>
      <w:tr w14:paraId="657904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8" w:type="pct"/>
            <w:tcBorders>
              <w:tl2br w:val="nil"/>
              <w:tr2bl w:val="nil"/>
            </w:tcBorders>
            <w:noWrap w:val="0"/>
            <w:vAlign w:val="center"/>
          </w:tcPr>
          <w:p w14:paraId="208C31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cs="宋体"/>
                <w:caps w:val="0"/>
                <w:spacing w:val="0"/>
                <w:sz w:val="21"/>
                <w:szCs w:val="21"/>
                <w:highlight w:val="none"/>
                <w:vertAlign w:val="baseline"/>
                <w:lang w:val="en-US" w:eastAsia="zh-CN"/>
              </w:rPr>
              <w:t>5</w:t>
            </w:r>
          </w:p>
        </w:tc>
        <w:tc>
          <w:tcPr>
            <w:tcW w:w="263" w:type="pct"/>
            <w:vMerge w:val="continue"/>
            <w:tcBorders>
              <w:tl2br w:val="nil"/>
              <w:tr2bl w:val="nil"/>
            </w:tcBorders>
            <w:noWrap w:val="0"/>
            <w:vAlign w:val="center"/>
          </w:tcPr>
          <w:p w14:paraId="1194550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p>
        </w:tc>
        <w:tc>
          <w:tcPr>
            <w:tcW w:w="247" w:type="pct"/>
            <w:tcBorders>
              <w:tl2br w:val="nil"/>
              <w:tr2bl w:val="nil"/>
            </w:tcBorders>
            <w:noWrap w:val="0"/>
            <w:vAlign w:val="center"/>
          </w:tcPr>
          <w:p w14:paraId="2FFBDDB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eastAsia" w:ascii="Times New Roman" w:hAnsi="Times New Roman" w:eastAsia="宋体" w:cs="宋体"/>
                <w:bCs w:val="0"/>
                <w:caps w:val="0"/>
                <w:spacing w:val="0"/>
                <w:sz w:val="21"/>
                <w:szCs w:val="21"/>
                <w:highlight w:val="none"/>
                <w:lang w:val="en-US" w:eastAsia="zh-CN" w:bidi="ar"/>
              </w:rPr>
            </w:pPr>
            <w:r>
              <w:rPr>
                <w:rStyle w:val="135"/>
                <w:rFonts w:hint="eastAsia" w:ascii="Times New Roman" w:hAnsi="Times New Roman" w:eastAsia="宋体" w:cs="宋体"/>
                <w:bCs w:val="0"/>
                <w:caps w:val="0"/>
                <w:spacing w:val="0"/>
                <w:sz w:val="21"/>
                <w:szCs w:val="21"/>
                <w:highlight w:val="none"/>
                <w:lang w:val="en-US" w:eastAsia="zh-CN" w:bidi="ar"/>
              </w:rPr>
              <w:t>风机</w:t>
            </w:r>
          </w:p>
        </w:tc>
        <w:tc>
          <w:tcPr>
            <w:tcW w:w="317" w:type="pct"/>
            <w:tcBorders>
              <w:tl2br w:val="nil"/>
              <w:tr2bl w:val="nil"/>
            </w:tcBorders>
            <w:noWrap w:val="0"/>
            <w:vAlign w:val="center"/>
          </w:tcPr>
          <w:p w14:paraId="35B41BF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spacing w:val="0"/>
                <w:sz w:val="21"/>
                <w:szCs w:val="21"/>
                <w:highlight w:val="none"/>
                <w:lang w:val="en-US" w:eastAsia="zh-CN"/>
              </w:rPr>
              <w:t>/</w:t>
            </w:r>
          </w:p>
        </w:tc>
        <w:tc>
          <w:tcPr>
            <w:tcW w:w="268" w:type="pct"/>
            <w:tcBorders>
              <w:tl2br w:val="nil"/>
              <w:tr2bl w:val="nil"/>
            </w:tcBorders>
            <w:noWrap w:val="0"/>
            <w:vAlign w:val="center"/>
          </w:tcPr>
          <w:p w14:paraId="670AA10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70</w:t>
            </w:r>
          </w:p>
        </w:tc>
        <w:tc>
          <w:tcPr>
            <w:tcW w:w="248" w:type="pct"/>
            <w:vMerge w:val="continue"/>
            <w:tcBorders>
              <w:tl2br w:val="nil"/>
              <w:tr2bl w:val="nil"/>
            </w:tcBorders>
            <w:noWrap w:val="0"/>
            <w:vAlign w:val="center"/>
          </w:tcPr>
          <w:p w14:paraId="4DCCAF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197" w:type="pct"/>
            <w:tcBorders>
              <w:tl2br w:val="nil"/>
              <w:tr2bl w:val="nil"/>
            </w:tcBorders>
            <w:noWrap w:val="0"/>
            <w:vAlign w:val="center"/>
          </w:tcPr>
          <w:p w14:paraId="2B75D77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-23</w:t>
            </w:r>
          </w:p>
        </w:tc>
        <w:tc>
          <w:tcPr>
            <w:tcW w:w="197" w:type="pct"/>
            <w:tcBorders>
              <w:tl2br w:val="nil"/>
              <w:tr2bl w:val="nil"/>
            </w:tcBorders>
            <w:noWrap w:val="0"/>
            <w:vAlign w:val="center"/>
          </w:tcPr>
          <w:p w14:paraId="3439039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-31</w:t>
            </w:r>
          </w:p>
        </w:tc>
        <w:tc>
          <w:tcPr>
            <w:tcW w:w="197" w:type="pct"/>
            <w:tcBorders>
              <w:tl2br w:val="nil"/>
              <w:tr2bl w:val="nil"/>
            </w:tcBorders>
            <w:noWrap w:val="0"/>
            <w:vAlign w:val="center"/>
          </w:tcPr>
          <w:p w14:paraId="20E8387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w:t>
            </w:r>
          </w:p>
        </w:tc>
        <w:tc>
          <w:tcPr>
            <w:tcW w:w="180" w:type="pct"/>
            <w:tcBorders>
              <w:tl2br w:val="nil"/>
              <w:tr2bl w:val="nil"/>
            </w:tcBorders>
            <w:noWrap w:val="0"/>
            <w:vAlign w:val="center"/>
          </w:tcPr>
          <w:p w14:paraId="7F2A465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15</w:t>
            </w:r>
          </w:p>
        </w:tc>
        <w:tc>
          <w:tcPr>
            <w:tcW w:w="180" w:type="pct"/>
            <w:tcBorders>
              <w:tl2br w:val="nil"/>
              <w:tr2bl w:val="nil"/>
            </w:tcBorders>
            <w:noWrap w:val="0"/>
            <w:vAlign w:val="center"/>
          </w:tcPr>
          <w:p w14:paraId="37EB8AD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8</w:t>
            </w:r>
          </w:p>
        </w:tc>
        <w:tc>
          <w:tcPr>
            <w:tcW w:w="180" w:type="pct"/>
            <w:tcBorders>
              <w:tl2br w:val="nil"/>
              <w:tr2bl w:val="nil"/>
            </w:tcBorders>
            <w:noWrap w:val="0"/>
            <w:vAlign w:val="center"/>
          </w:tcPr>
          <w:p w14:paraId="1FACB81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15</w:t>
            </w:r>
          </w:p>
        </w:tc>
        <w:tc>
          <w:tcPr>
            <w:tcW w:w="184" w:type="pct"/>
            <w:tcBorders>
              <w:tl2br w:val="nil"/>
              <w:tr2bl w:val="nil"/>
            </w:tcBorders>
            <w:noWrap w:val="0"/>
            <w:vAlign w:val="center"/>
          </w:tcPr>
          <w:p w14:paraId="4BB5897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52</w:t>
            </w:r>
          </w:p>
        </w:tc>
        <w:tc>
          <w:tcPr>
            <w:tcW w:w="227" w:type="pct"/>
            <w:tcBorders>
              <w:tl2br w:val="nil"/>
              <w:tr2bl w:val="nil"/>
            </w:tcBorders>
            <w:noWrap w:val="0"/>
            <w:vAlign w:val="center"/>
          </w:tcPr>
          <w:p w14:paraId="7F12932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46.5 </w:t>
            </w:r>
          </w:p>
        </w:tc>
        <w:tc>
          <w:tcPr>
            <w:tcW w:w="227" w:type="pct"/>
            <w:tcBorders>
              <w:tl2br w:val="nil"/>
              <w:tr2bl w:val="nil"/>
            </w:tcBorders>
            <w:noWrap w:val="0"/>
            <w:vAlign w:val="center"/>
          </w:tcPr>
          <w:p w14:paraId="2F11027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51.9 </w:t>
            </w:r>
          </w:p>
        </w:tc>
        <w:tc>
          <w:tcPr>
            <w:tcW w:w="227" w:type="pct"/>
            <w:tcBorders>
              <w:tl2br w:val="nil"/>
              <w:tr2bl w:val="nil"/>
            </w:tcBorders>
            <w:noWrap w:val="0"/>
            <w:vAlign w:val="center"/>
          </w:tcPr>
          <w:p w14:paraId="1D9A48B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46.5 </w:t>
            </w:r>
          </w:p>
        </w:tc>
        <w:tc>
          <w:tcPr>
            <w:tcW w:w="230" w:type="pct"/>
            <w:tcBorders>
              <w:tl2br w:val="nil"/>
              <w:tr2bl w:val="nil"/>
            </w:tcBorders>
            <w:noWrap w:val="0"/>
            <w:vAlign w:val="center"/>
          </w:tcPr>
          <w:p w14:paraId="74A0FF3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35.7 </w:t>
            </w:r>
          </w:p>
        </w:tc>
        <w:tc>
          <w:tcPr>
            <w:tcW w:w="188" w:type="pct"/>
            <w:vMerge w:val="continue"/>
            <w:tcBorders>
              <w:tl2br w:val="nil"/>
              <w:tr2bl w:val="nil"/>
            </w:tcBorders>
            <w:noWrap w:val="0"/>
            <w:vAlign w:val="center"/>
          </w:tcPr>
          <w:p w14:paraId="4269E43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10" w:type="pct"/>
            <w:tcBorders>
              <w:tl2br w:val="nil"/>
              <w:tr2bl w:val="nil"/>
            </w:tcBorders>
            <w:noWrap w:val="0"/>
            <w:vAlign w:val="center"/>
          </w:tcPr>
          <w:p w14:paraId="2708043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w:t>
            </w:r>
          </w:p>
        </w:tc>
        <w:tc>
          <w:tcPr>
            <w:tcW w:w="171" w:type="pct"/>
            <w:tcBorders>
              <w:tl2br w:val="nil"/>
              <w:tr2bl w:val="nil"/>
            </w:tcBorders>
            <w:noWrap w:val="0"/>
            <w:vAlign w:val="center"/>
          </w:tcPr>
          <w:p w14:paraId="5D794EE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26.5 </w:t>
            </w:r>
          </w:p>
        </w:tc>
        <w:tc>
          <w:tcPr>
            <w:tcW w:w="187" w:type="pct"/>
            <w:tcBorders>
              <w:tl2br w:val="nil"/>
              <w:tr2bl w:val="nil"/>
            </w:tcBorders>
            <w:noWrap w:val="0"/>
            <w:vAlign w:val="center"/>
          </w:tcPr>
          <w:p w14:paraId="25C378E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31.9 </w:t>
            </w:r>
          </w:p>
        </w:tc>
        <w:tc>
          <w:tcPr>
            <w:tcW w:w="152" w:type="pct"/>
            <w:tcBorders>
              <w:tl2br w:val="nil"/>
              <w:tr2bl w:val="nil"/>
            </w:tcBorders>
            <w:noWrap w:val="0"/>
            <w:vAlign w:val="center"/>
          </w:tcPr>
          <w:p w14:paraId="0520FAD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26.5 </w:t>
            </w:r>
          </w:p>
        </w:tc>
        <w:tc>
          <w:tcPr>
            <w:tcW w:w="178" w:type="pct"/>
            <w:tcBorders>
              <w:tl2br w:val="nil"/>
              <w:tr2bl w:val="nil"/>
            </w:tcBorders>
            <w:noWrap w:val="0"/>
            <w:vAlign w:val="center"/>
          </w:tcPr>
          <w:p w14:paraId="03B4B30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15.7 </w:t>
            </w:r>
          </w:p>
        </w:tc>
        <w:tc>
          <w:tcPr>
            <w:tcW w:w="146" w:type="pct"/>
            <w:tcBorders>
              <w:tl2br w:val="nil"/>
              <w:tr2bl w:val="nil"/>
            </w:tcBorders>
            <w:noWrap w:val="0"/>
            <w:vAlign w:val="center"/>
          </w:tcPr>
          <w:p w14:paraId="4C4A971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w:t>
            </w:r>
          </w:p>
        </w:tc>
      </w:tr>
      <w:tr w14:paraId="532C26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8" w:type="pct"/>
            <w:tcBorders>
              <w:tl2br w:val="nil"/>
              <w:tr2bl w:val="nil"/>
            </w:tcBorders>
            <w:noWrap w:val="0"/>
            <w:vAlign w:val="center"/>
          </w:tcPr>
          <w:p w14:paraId="2587D5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cs="宋体"/>
                <w:caps w:val="0"/>
                <w:spacing w:val="0"/>
                <w:sz w:val="21"/>
                <w:szCs w:val="21"/>
                <w:highlight w:val="none"/>
                <w:vertAlign w:val="baseline"/>
                <w:lang w:val="en-US" w:eastAsia="zh-CN"/>
              </w:rPr>
              <w:t>6</w:t>
            </w:r>
          </w:p>
        </w:tc>
        <w:tc>
          <w:tcPr>
            <w:tcW w:w="263" w:type="pct"/>
            <w:vMerge w:val="continue"/>
            <w:tcBorders>
              <w:tl2br w:val="nil"/>
              <w:tr2bl w:val="nil"/>
            </w:tcBorders>
            <w:noWrap w:val="0"/>
            <w:vAlign w:val="center"/>
          </w:tcPr>
          <w:p w14:paraId="322CE1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p>
        </w:tc>
        <w:tc>
          <w:tcPr>
            <w:tcW w:w="247" w:type="pct"/>
            <w:tcBorders>
              <w:tl2br w:val="nil"/>
              <w:tr2bl w:val="nil"/>
            </w:tcBorders>
            <w:noWrap w:val="0"/>
            <w:vAlign w:val="center"/>
          </w:tcPr>
          <w:p w14:paraId="2EE087E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default" w:ascii="Times New Roman" w:hAnsi="Times New Roman" w:eastAsia="宋体" w:cs="宋体"/>
                <w:bCs w:val="0"/>
                <w:caps w:val="0"/>
                <w:spacing w:val="0"/>
                <w:sz w:val="21"/>
                <w:szCs w:val="21"/>
                <w:highlight w:val="none"/>
                <w:lang w:val="en-US" w:eastAsia="zh-CN" w:bidi="ar"/>
              </w:rPr>
            </w:pPr>
            <w:r>
              <w:rPr>
                <w:rStyle w:val="135"/>
                <w:rFonts w:hint="eastAsia" w:ascii="Times New Roman" w:hAnsi="Times New Roman" w:cs="宋体"/>
                <w:bCs w:val="0"/>
                <w:caps w:val="0"/>
                <w:spacing w:val="0"/>
                <w:sz w:val="21"/>
                <w:szCs w:val="21"/>
                <w:highlight w:val="none"/>
                <w:lang w:val="en-US" w:eastAsia="zh-CN" w:bidi="ar"/>
              </w:rPr>
              <w:t>油泵</w:t>
            </w:r>
          </w:p>
        </w:tc>
        <w:tc>
          <w:tcPr>
            <w:tcW w:w="317" w:type="pct"/>
            <w:tcBorders>
              <w:tl2br w:val="nil"/>
              <w:tr2bl w:val="nil"/>
            </w:tcBorders>
            <w:noWrap w:val="0"/>
            <w:vAlign w:val="center"/>
          </w:tcPr>
          <w:p w14:paraId="6DEFD94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宋体"/>
                <w:caps w:val="0"/>
                <w:spacing w:val="0"/>
                <w:sz w:val="21"/>
                <w:szCs w:val="21"/>
                <w:highlight w:val="none"/>
                <w:lang w:val="en-US" w:eastAsia="zh-CN"/>
              </w:rPr>
            </w:pPr>
            <w:r>
              <w:rPr>
                <w:rFonts w:hint="eastAsia" w:ascii="Times New Roman" w:hAnsi="Times New Roman" w:cs="宋体"/>
                <w:caps w:val="0"/>
                <w:spacing w:val="0"/>
                <w:sz w:val="21"/>
                <w:szCs w:val="21"/>
                <w:highlight w:val="none"/>
                <w:lang w:val="en-US" w:eastAsia="zh-CN"/>
              </w:rPr>
              <w:t>/</w:t>
            </w:r>
          </w:p>
        </w:tc>
        <w:tc>
          <w:tcPr>
            <w:tcW w:w="268" w:type="pct"/>
            <w:tcBorders>
              <w:tl2br w:val="nil"/>
              <w:tr2bl w:val="nil"/>
            </w:tcBorders>
            <w:noWrap w:val="0"/>
            <w:vAlign w:val="center"/>
          </w:tcPr>
          <w:p w14:paraId="39A8756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cs="宋体"/>
                <w:caps w:val="0"/>
                <w:spacing w:val="0"/>
                <w:sz w:val="21"/>
                <w:szCs w:val="21"/>
                <w:highlight w:val="none"/>
                <w:vertAlign w:val="baseline"/>
                <w:lang w:val="en-US" w:eastAsia="zh-CN"/>
              </w:rPr>
              <w:t>60</w:t>
            </w:r>
          </w:p>
        </w:tc>
        <w:tc>
          <w:tcPr>
            <w:tcW w:w="248" w:type="pct"/>
            <w:vMerge w:val="continue"/>
            <w:tcBorders>
              <w:tl2br w:val="nil"/>
              <w:tr2bl w:val="nil"/>
            </w:tcBorders>
            <w:noWrap w:val="0"/>
            <w:vAlign w:val="center"/>
          </w:tcPr>
          <w:p w14:paraId="0CC3DB6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197" w:type="pct"/>
            <w:tcBorders>
              <w:tl2br w:val="nil"/>
              <w:tr2bl w:val="nil"/>
            </w:tcBorders>
            <w:noWrap w:val="0"/>
            <w:vAlign w:val="center"/>
          </w:tcPr>
          <w:p w14:paraId="182F0F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-23</w:t>
            </w:r>
          </w:p>
        </w:tc>
        <w:tc>
          <w:tcPr>
            <w:tcW w:w="197" w:type="pct"/>
            <w:tcBorders>
              <w:tl2br w:val="nil"/>
              <w:tr2bl w:val="nil"/>
            </w:tcBorders>
            <w:noWrap w:val="0"/>
            <w:vAlign w:val="center"/>
          </w:tcPr>
          <w:p w14:paraId="49E188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-29</w:t>
            </w:r>
          </w:p>
        </w:tc>
        <w:tc>
          <w:tcPr>
            <w:tcW w:w="197" w:type="pct"/>
            <w:tcBorders>
              <w:tl2br w:val="nil"/>
              <w:tr2bl w:val="nil"/>
            </w:tcBorders>
            <w:noWrap w:val="0"/>
            <w:vAlign w:val="center"/>
          </w:tcPr>
          <w:p w14:paraId="2BA1C4D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w:t>
            </w:r>
          </w:p>
        </w:tc>
        <w:tc>
          <w:tcPr>
            <w:tcW w:w="180" w:type="pct"/>
            <w:tcBorders>
              <w:tl2br w:val="nil"/>
              <w:tr2bl w:val="nil"/>
            </w:tcBorders>
            <w:noWrap w:val="0"/>
            <w:vAlign w:val="center"/>
          </w:tcPr>
          <w:p w14:paraId="76F1D63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15</w:t>
            </w:r>
          </w:p>
        </w:tc>
        <w:tc>
          <w:tcPr>
            <w:tcW w:w="180" w:type="pct"/>
            <w:tcBorders>
              <w:tl2br w:val="nil"/>
              <w:tr2bl w:val="nil"/>
            </w:tcBorders>
            <w:noWrap w:val="0"/>
            <w:vAlign w:val="center"/>
          </w:tcPr>
          <w:p w14:paraId="37D1C8E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10</w:t>
            </w:r>
          </w:p>
        </w:tc>
        <w:tc>
          <w:tcPr>
            <w:tcW w:w="180" w:type="pct"/>
            <w:tcBorders>
              <w:tl2br w:val="nil"/>
              <w:tr2bl w:val="nil"/>
            </w:tcBorders>
            <w:noWrap w:val="0"/>
            <w:vAlign w:val="center"/>
          </w:tcPr>
          <w:p w14:paraId="2EFEDCA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15</w:t>
            </w:r>
          </w:p>
        </w:tc>
        <w:tc>
          <w:tcPr>
            <w:tcW w:w="184" w:type="pct"/>
            <w:tcBorders>
              <w:tl2br w:val="nil"/>
              <w:tr2bl w:val="nil"/>
            </w:tcBorders>
            <w:noWrap w:val="0"/>
            <w:vAlign w:val="center"/>
          </w:tcPr>
          <w:p w14:paraId="443CBC9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50</w:t>
            </w:r>
          </w:p>
        </w:tc>
        <w:tc>
          <w:tcPr>
            <w:tcW w:w="227" w:type="pct"/>
            <w:tcBorders>
              <w:tl2br w:val="nil"/>
              <w:tr2bl w:val="nil"/>
            </w:tcBorders>
            <w:noWrap w:val="0"/>
            <w:vAlign w:val="center"/>
          </w:tcPr>
          <w:p w14:paraId="30A8F69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36.5 </w:t>
            </w:r>
          </w:p>
        </w:tc>
        <w:tc>
          <w:tcPr>
            <w:tcW w:w="227" w:type="pct"/>
            <w:tcBorders>
              <w:tl2br w:val="nil"/>
              <w:tr2bl w:val="nil"/>
            </w:tcBorders>
            <w:noWrap w:val="0"/>
            <w:vAlign w:val="center"/>
          </w:tcPr>
          <w:p w14:paraId="7D4A398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40.0 </w:t>
            </w:r>
          </w:p>
        </w:tc>
        <w:tc>
          <w:tcPr>
            <w:tcW w:w="227" w:type="pct"/>
            <w:tcBorders>
              <w:tl2br w:val="nil"/>
              <w:tr2bl w:val="nil"/>
            </w:tcBorders>
            <w:noWrap w:val="0"/>
            <w:vAlign w:val="center"/>
          </w:tcPr>
          <w:p w14:paraId="465FADF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36.5 </w:t>
            </w:r>
          </w:p>
        </w:tc>
        <w:tc>
          <w:tcPr>
            <w:tcW w:w="230" w:type="pct"/>
            <w:tcBorders>
              <w:tl2br w:val="nil"/>
              <w:tr2bl w:val="nil"/>
            </w:tcBorders>
            <w:noWrap w:val="0"/>
            <w:vAlign w:val="center"/>
          </w:tcPr>
          <w:p w14:paraId="2F256D2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color w:val="auto"/>
                <w:sz w:val="21"/>
                <w:szCs w:val="21"/>
                <w:highlight w:val="none"/>
                <w:u w:val="none"/>
                <w:lang w:val="en-US" w:eastAsia="zh-CN"/>
              </w:rPr>
            </w:pPr>
            <w:r>
              <w:rPr>
                <w:rFonts w:hint="eastAsia" w:ascii="Times New Roman" w:hAnsi="Times New Roman" w:eastAsia="宋体" w:cs="宋体"/>
                <w:caps w:val="0"/>
                <w:color w:val="auto"/>
                <w:sz w:val="21"/>
                <w:szCs w:val="21"/>
                <w:highlight w:val="none"/>
                <w:u w:val="none"/>
                <w:lang w:val="en-US" w:eastAsia="zh-CN"/>
              </w:rPr>
              <w:t xml:space="preserve">26.0 </w:t>
            </w:r>
          </w:p>
        </w:tc>
        <w:tc>
          <w:tcPr>
            <w:tcW w:w="188" w:type="pct"/>
            <w:vMerge w:val="continue"/>
            <w:tcBorders>
              <w:tl2br w:val="nil"/>
              <w:tr2bl w:val="nil"/>
            </w:tcBorders>
            <w:noWrap w:val="0"/>
            <w:vAlign w:val="center"/>
          </w:tcPr>
          <w:p w14:paraId="0149CA3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10" w:type="pct"/>
            <w:tcBorders>
              <w:tl2br w:val="nil"/>
              <w:tr2bl w:val="nil"/>
            </w:tcBorders>
            <w:noWrap w:val="0"/>
            <w:vAlign w:val="center"/>
          </w:tcPr>
          <w:p w14:paraId="75B8402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cs="宋体"/>
                <w:caps w:val="0"/>
                <w:spacing w:val="0"/>
                <w:sz w:val="21"/>
                <w:szCs w:val="21"/>
                <w:highlight w:val="none"/>
                <w:vertAlign w:val="baseline"/>
                <w:lang w:val="en-US" w:eastAsia="zh-CN"/>
              </w:rPr>
              <w:t>20</w:t>
            </w:r>
          </w:p>
        </w:tc>
        <w:tc>
          <w:tcPr>
            <w:tcW w:w="171" w:type="pct"/>
            <w:tcBorders>
              <w:tl2br w:val="nil"/>
              <w:tr2bl w:val="nil"/>
            </w:tcBorders>
            <w:noWrap w:val="0"/>
            <w:vAlign w:val="center"/>
          </w:tcPr>
          <w:p w14:paraId="0BE39F3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16.5 </w:t>
            </w:r>
          </w:p>
        </w:tc>
        <w:tc>
          <w:tcPr>
            <w:tcW w:w="187" w:type="pct"/>
            <w:tcBorders>
              <w:tl2br w:val="nil"/>
              <w:tr2bl w:val="nil"/>
            </w:tcBorders>
            <w:noWrap w:val="0"/>
            <w:vAlign w:val="center"/>
          </w:tcPr>
          <w:p w14:paraId="351F30A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20.0 </w:t>
            </w:r>
          </w:p>
        </w:tc>
        <w:tc>
          <w:tcPr>
            <w:tcW w:w="152" w:type="pct"/>
            <w:tcBorders>
              <w:tl2br w:val="nil"/>
              <w:tr2bl w:val="nil"/>
            </w:tcBorders>
            <w:noWrap w:val="0"/>
            <w:vAlign w:val="center"/>
          </w:tcPr>
          <w:p w14:paraId="65F154B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16.5 </w:t>
            </w:r>
          </w:p>
        </w:tc>
        <w:tc>
          <w:tcPr>
            <w:tcW w:w="178" w:type="pct"/>
            <w:tcBorders>
              <w:tl2br w:val="nil"/>
              <w:tr2bl w:val="nil"/>
            </w:tcBorders>
            <w:noWrap w:val="0"/>
            <w:vAlign w:val="center"/>
          </w:tcPr>
          <w:p w14:paraId="1E408EB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 xml:space="preserve">6.0 </w:t>
            </w:r>
          </w:p>
        </w:tc>
        <w:tc>
          <w:tcPr>
            <w:tcW w:w="146" w:type="pct"/>
            <w:tcBorders>
              <w:tl2br w:val="nil"/>
              <w:tr2bl w:val="nil"/>
            </w:tcBorders>
            <w:noWrap w:val="0"/>
            <w:vAlign w:val="center"/>
          </w:tcPr>
          <w:p w14:paraId="5C4CD4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cs="宋体"/>
                <w:caps w:val="0"/>
                <w:spacing w:val="0"/>
                <w:sz w:val="21"/>
                <w:szCs w:val="21"/>
                <w:highlight w:val="none"/>
                <w:vertAlign w:val="baseline"/>
                <w:lang w:val="en-US" w:eastAsia="zh-CN"/>
              </w:rPr>
              <w:t>1</w:t>
            </w:r>
          </w:p>
        </w:tc>
      </w:tr>
      <w:tr w14:paraId="2A33BC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53" w:type="pct"/>
            <w:gridSpan w:val="23"/>
            <w:tcBorders>
              <w:tl2br w:val="nil"/>
              <w:tr2bl w:val="nil"/>
            </w:tcBorders>
            <w:noWrap w:val="0"/>
            <w:vAlign w:val="center"/>
          </w:tcPr>
          <w:p w14:paraId="5EBB77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以厂区中心位置为坐标远点130.59010335°45.08808246°，东西向为X南北向为Y，高度为Z</w:t>
            </w:r>
          </w:p>
        </w:tc>
        <w:tc>
          <w:tcPr>
            <w:tcW w:w="146" w:type="pct"/>
            <w:tcBorders>
              <w:tl2br w:val="nil"/>
              <w:tr2bl w:val="nil"/>
            </w:tcBorders>
            <w:noWrap w:val="0"/>
            <w:vAlign w:val="center"/>
          </w:tcPr>
          <w:p w14:paraId="542452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宋体"/>
                <w:caps w:val="0"/>
                <w:spacing w:val="0"/>
                <w:sz w:val="21"/>
                <w:szCs w:val="21"/>
                <w:highlight w:val="none"/>
                <w:vertAlign w:val="baseline"/>
                <w:lang w:val="en-US" w:eastAsia="zh-CN"/>
              </w:rPr>
            </w:pPr>
          </w:p>
        </w:tc>
      </w:tr>
    </w:tbl>
    <w:p w14:paraId="2EF03BE6">
      <w:pPr>
        <w:jc w:val="center"/>
        <w:rPr>
          <w:rFonts w:hint="eastAsia" w:ascii="Times New Roman" w:hAnsi="Times New Roman" w:eastAsia="宋体" w:cs="宋体"/>
          <w:caps w:val="0"/>
          <w:spacing w:val="0"/>
          <w:highlight w:val="none"/>
          <w:lang w:eastAsia="zh-CN"/>
        </w:rPr>
      </w:pPr>
      <w:r>
        <w:rPr>
          <w:rFonts w:hint="eastAsia" w:ascii="Times New Roman" w:hAnsi="Times New Roman" w:eastAsia="宋体" w:cs="宋体"/>
          <w:b/>
          <w:bCs/>
          <w:caps w:val="0"/>
          <w:spacing w:val="0"/>
          <w:sz w:val="21"/>
          <w:szCs w:val="21"/>
          <w:highlight w:val="none"/>
          <w:lang w:val="en-US" w:eastAsia="zh-CN"/>
        </w:rPr>
        <w:t>表4-</w:t>
      </w:r>
      <w:r>
        <w:rPr>
          <w:rFonts w:hint="eastAsia" w:ascii="Times New Roman" w:hAnsi="Times New Roman" w:cs="宋体"/>
          <w:b/>
          <w:bCs/>
          <w:caps w:val="0"/>
          <w:spacing w:val="0"/>
          <w:sz w:val="21"/>
          <w:szCs w:val="21"/>
          <w:highlight w:val="none"/>
          <w:lang w:val="en-US" w:eastAsia="zh-CN"/>
        </w:rPr>
        <w:t>9</w:t>
      </w:r>
      <w:r>
        <w:rPr>
          <w:rFonts w:hint="eastAsia" w:ascii="Times New Roman" w:hAnsi="Times New Roman" w:eastAsia="宋体" w:cs="宋体"/>
          <w:b/>
          <w:bCs/>
          <w:caps w:val="0"/>
          <w:spacing w:val="0"/>
          <w:sz w:val="21"/>
          <w:szCs w:val="21"/>
          <w:highlight w:val="none"/>
          <w:lang w:val="en-US" w:eastAsia="zh-CN"/>
        </w:rPr>
        <w:t>噪声源强调查清单（现状高噪声声源）</w:t>
      </w:r>
    </w:p>
    <w:tbl>
      <w:tblPr>
        <w:tblStyle w:val="36"/>
        <w:tblW w:w="525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3"/>
        <w:gridCol w:w="766"/>
        <w:gridCol w:w="675"/>
        <w:gridCol w:w="899"/>
        <w:gridCol w:w="760"/>
        <w:gridCol w:w="701"/>
        <w:gridCol w:w="557"/>
        <w:gridCol w:w="557"/>
        <w:gridCol w:w="557"/>
        <w:gridCol w:w="509"/>
        <w:gridCol w:w="509"/>
        <w:gridCol w:w="509"/>
        <w:gridCol w:w="520"/>
        <w:gridCol w:w="644"/>
        <w:gridCol w:w="644"/>
        <w:gridCol w:w="644"/>
        <w:gridCol w:w="650"/>
        <w:gridCol w:w="534"/>
        <w:gridCol w:w="596"/>
        <w:gridCol w:w="486"/>
        <w:gridCol w:w="531"/>
        <w:gridCol w:w="432"/>
        <w:gridCol w:w="503"/>
        <w:gridCol w:w="413"/>
      </w:tblGrid>
      <w:tr w14:paraId="1FC49D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8" w:type="pct"/>
            <w:vMerge w:val="restart"/>
            <w:tcBorders>
              <w:tl2br w:val="nil"/>
              <w:tr2bl w:val="nil"/>
            </w:tcBorders>
            <w:noWrap w:val="0"/>
            <w:vAlign w:val="center"/>
          </w:tcPr>
          <w:p w14:paraId="6E0D576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序号</w:t>
            </w:r>
          </w:p>
        </w:tc>
        <w:tc>
          <w:tcPr>
            <w:tcW w:w="271" w:type="pct"/>
            <w:vMerge w:val="restart"/>
            <w:tcBorders>
              <w:tl2br w:val="nil"/>
              <w:tr2bl w:val="nil"/>
            </w:tcBorders>
            <w:noWrap w:val="0"/>
            <w:vAlign w:val="center"/>
          </w:tcPr>
          <w:p w14:paraId="302C5AF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建筑物名称</w:t>
            </w:r>
          </w:p>
        </w:tc>
        <w:tc>
          <w:tcPr>
            <w:tcW w:w="238" w:type="pct"/>
            <w:vMerge w:val="restart"/>
            <w:tcBorders>
              <w:tl2br w:val="nil"/>
              <w:tr2bl w:val="nil"/>
            </w:tcBorders>
            <w:noWrap w:val="0"/>
            <w:vAlign w:val="center"/>
          </w:tcPr>
          <w:p w14:paraId="76E2D03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声源名称</w:t>
            </w:r>
          </w:p>
        </w:tc>
        <w:tc>
          <w:tcPr>
            <w:tcW w:w="318" w:type="pct"/>
            <w:vMerge w:val="restart"/>
            <w:tcBorders>
              <w:tl2br w:val="nil"/>
              <w:tr2bl w:val="nil"/>
            </w:tcBorders>
            <w:noWrap w:val="0"/>
            <w:vAlign w:val="center"/>
          </w:tcPr>
          <w:p w14:paraId="2B9146D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型号</w:t>
            </w:r>
          </w:p>
        </w:tc>
        <w:tc>
          <w:tcPr>
            <w:tcW w:w="268" w:type="pct"/>
            <w:tcBorders>
              <w:tl2br w:val="nil"/>
              <w:tr2bl w:val="nil"/>
            </w:tcBorders>
            <w:noWrap w:val="0"/>
            <w:vAlign w:val="center"/>
          </w:tcPr>
          <w:p w14:paraId="4AF1AF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声源源强（任选一种）</w:t>
            </w:r>
          </w:p>
        </w:tc>
        <w:tc>
          <w:tcPr>
            <w:tcW w:w="248" w:type="pct"/>
            <w:vMerge w:val="restart"/>
            <w:tcBorders>
              <w:tl2br w:val="nil"/>
              <w:tr2bl w:val="nil"/>
            </w:tcBorders>
            <w:noWrap w:val="0"/>
            <w:vAlign w:val="center"/>
          </w:tcPr>
          <w:p w14:paraId="34BD59C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声源控制措施</w:t>
            </w:r>
          </w:p>
        </w:tc>
        <w:tc>
          <w:tcPr>
            <w:tcW w:w="591" w:type="pct"/>
            <w:gridSpan w:val="3"/>
            <w:tcBorders>
              <w:tl2br w:val="nil"/>
              <w:tr2bl w:val="nil"/>
            </w:tcBorders>
            <w:noWrap w:val="0"/>
            <w:vAlign w:val="center"/>
          </w:tcPr>
          <w:p w14:paraId="67FBECC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空间相对位置/m</w:t>
            </w:r>
          </w:p>
        </w:tc>
        <w:tc>
          <w:tcPr>
            <w:tcW w:w="724" w:type="pct"/>
            <w:gridSpan w:val="4"/>
            <w:tcBorders>
              <w:tl2br w:val="nil"/>
              <w:tr2bl w:val="nil"/>
            </w:tcBorders>
            <w:noWrap w:val="0"/>
            <w:vAlign w:val="center"/>
          </w:tcPr>
          <w:p w14:paraId="7A3BC1F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距室内边界距离/m</w:t>
            </w:r>
          </w:p>
        </w:tc>
        <w:tc>
          <w:tcPr>
            <w:tcW w:w="913" w:type="pct"/>
            <w:gridSpan w:val="4"/>
            <w:tcBorders>
              <w:tl2br w:val="nil"/>
              <w:tr2bl w:val="nil"/>
            </w:tcBorders>
            <w:noWrap w:val="0"/>
            <w:vAlign w:val="center"/>
          </w:tcPr>
          <w:p w14:paraId="5A7C977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室内边界</w:t>
            </w:r>
            <w:r>
              <w:rPr>
                <w:rFonts w:hint="eastAsia" w:ascii="Times New Roman" w:hAnsi="Times New Roman" w:cs="宋体"/>
                <w:b/>
                <w:bCs/>
                <w:caps w:val="0"/>
                <w:spacing w:val="0"/>
                <w:sz w:val="21"/>
                <w:szCs w:val="21"/>
                <w:highlight w:val="none"/>
                <w:vertAlign w:val="baseline"/>
                <w:lang w:val="en-US" w:eastAsia="zh-CN"/>
              </w:rPr>
              <w:t>声</w:t>
            </w:r>
            <w:r>
              <w:rPr>
                <w:rFonts w:hint="eastAsia" w:ascii="Times New Roman" w:hAnsi="Times New Roman" w:eastAsia="宋体" w:cs="宋体"/>
                <w:b/>
                <w:bCs/>
                <w:caps w:val="0"/>
                <w:spacing w:val="0"/>
                <w:sz w:val="21"/>
                <w:szCs w:val="21"/>
                <w:highlight w:val="none"/>
                <w:vertAlign w:val="baseline"/>
                <w:lang w:val="en-US" w:eastAsia="zh-CN"/>
              </w:rPr>
              <w:t>级/dB（A）</w:t>
            </w:r>
          </w:p>
        </w:tc>
        <w:tc>
          <w:tcPr>
            <w:tcW w:w="188" w:type="pct"/>
            <w:vMerge w:val="restart"/>
            <w:tcBorders>
              <w:tl2br w:val="nil"/>
              <w:tr2bl w:val="nil"/>
            </w:tcBorders>
            <w:noWrap w:val="0"/>
            <w:vAlign w:val="center"/>
          </w:tcPr>
          <w:p w14:paraId="24B03D6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运行时段</w:t>
            </w:r>
          </w:p>
        </w:tc>
        <w:tc>
          <w:tcPr>
            <w:tcW w:w="210" w:type="pct"/>
            <w:vMerge w:val="restart"/>
            <w:tcBorders>
              <w:tl2br w:val="nil"/>
              <w:tr2bl w:val="nil"/>
            </w:tcBorders>
            <w:noWrap w:val="0"/>
            <w:vAlign w:val="center"/>
          </w:tcPr>
          <w:p w14:paraId="299F581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建筑物插入损失/dB（A）</w:t>
            </w:r>
          </w:p>
        </w:tc>
        <w:tc>
          <w:tcPr>
            <w:tcW w:w="836" w:type="pct"/>
            <w:gridSpan w:val="5"/>
            <w:tcBorders>
              <w:tl2br w:val="nil"/>
              <w:tr2bl w:val="nil"/>
            </w:tcBorders>
            <w:noWrap w:val="0"/>
            <w:vAlign w:val="center"/>
          </w:tcPr>
          <w:p w14:paraId="46F9C12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建筑物外噪声</w:t>
            </w:r>
          </w:p>
        </w:tc>
      </w:tr>
      <w:tr w14:paraId="22FB0B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8" w:type="pct"/>
            <w:vMerge w:val="continue"/>
            <w:tcBorders>
              <w:tl2br w:val="nil"/>
              <w:tr2bl w:val="nil"/>
            </w:tcBorders>
            <w:noWrap w:val="0"/>
            <w:vAlign w:val="center"/>
          </w:tcPr>
          <w:p w14:paraId="31EB721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71" w:type="pct"/>
            <w:vMerge w:val="continue"/>
            <w:tcBorders>
              <w:tl2br w:val="nil"/>
              <w:tr2bl w:val="nil"/>
            </w:tcBorders>
            <w:noWrap w:val="0"/>
            <w:vAlign w:val="center"/>
          </w:tcPr>
          <w:p w14:paraId="4320756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38" w:type="pct"/>
            <w:vMerge w:val="continue"/>
            <w:tcBorders>
              <w:tl2br w:val="nil"/>
              <w:tr2bl w:val="nil"/>
            </w:tcBorders>
            <w:noWrap w:val="0"/>
            <w:vAlign w:val="center"/>
          </w:tcPr>
          <w:p w14:paraId="12FF1C5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318" w:type="pct"/>
            <w:vMerge w:val="continue"/>
            <w:tcBorders>
              <w:tl2br w:val="nil"/>
              <w:tr2bl w:val="nil"/>
            </w:tcBorders>
            <w:noWrap w:val="0"/>
            <w:vAlign w:val="center"/>
          </w:tcPr>
          <w:p w14:paraId="50487C1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68" w:type="pct"/>
            <w:vMerge w:val="restart"/>
            <w:tcBorders>
              <w:tl2br w:val="nil"/>
              <w:tr2bl w:val="nil"/>
            </w:tcBorders>
            <w:noWrap w:val="0"/>
            <w:vAlign w:val="center"/>
          </w:tcPr>
          <w:p w14:paraId="3F728C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声功率级/dB（A）</w:t>
            </w:r>
          </w:p>
        </w:tc>
        <w:tc>
          <w:tcPr>
            <w:tcW w:w="248" w:type="pct"/>
            <w:vMerge w:val="continue"/>
            <w:tcBorders>
              <w:tl2br w:val="nil"/>
              <w:tr2bl w:val="nil"/>
            </w:tcBorders>
            <w:noWrap w:val="0"/>
            <w:vAlign w:val="center"/>
          </w:tcPr>
          <w:p w14:paraId="66311F5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197" w:type="pct"/>
            <w:vMerge w:val="restart"/>
            <w:tcBorders>
              <w:tl2br w:val="nil"/>
              <w:tr2bl w:val="nil"/>
            </w:tcBorders>
            <w:noWrap w:val="0"/>
            <w:vAlign w:val="center"/>
          </w:tcPr>
          <w:p w14:paraId="7366057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X</w:t>
            </w:r>
          </w:p>
        </w:tc>
        <w:tc>
          <w:tcPr>
            <w:tcW w:w="197" w:type="pct"/>
            <w:vMerge w:val="restart"/>
            <w:tcBorders>
              <w:tl2br w:val="nil"/>
              <w:tr2bl w:val="nil"/>
            </w:tcBorders>
            <w:noWrap w:val="0"/>
            <w:vAlign w:val="center"/>
          </w:tcPr>
          <w:p w14:paraId="3F1A289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Y</w:t>
            </w:r>
          </w:p>
        </w:tc>
        <w:tc>
          <w:tcPr>
            <w:tcW w:w="197" w:type="pct"/>
            <w:vMerge w:val="restart"/>
            <w:tcBorders>
              <w:tl2br w:val="nil"/>
              <w:tr2bl w:val="nil"/>
            </w:tcBorders>
            <w:noWrap w:val="0"/>
            <w:vAlign w:val="center"/>
          </w:tcPr>
          <w:p w14:paraId="589B271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Z</w:t>
            </w:r>
          </w:p>
        </w:tc>
        <w:tc>
          <w:tcPr>
            <w:tcW w:w="180" w:type="pct"/>
            <w:vMerge w:val="restart"/>
            <w:tcBorders>
              <w:tl2br w:val="nil"/>
              <w:tr2bl w:val="nil"/>
            </w:tcBorders>
            <w:noWrap w:val="0"/>
            <w:vAlign w:val="center"/>
          </w:tcPr>
          <w:p w14:paraId="1A72087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东</w:t>
            </w:r>
          </w:p>
        </w:tc>
        <w:tc>
          <w:tcPr>
            <w:tcW w:w="180" w:type="pct"/>
            <w:vMerge w:val="restart"/>
            <w:tcBorders>
              <w:tl2br w:val="nil"/>
              <w:tr2bl w:val="nil"/>
            </w:tcBorders>
            <w:noWrap w:val="0"/>
            <w:vAlign w:val="center"/>
          </w:tcPr>
          <w:p w14:paraId="22D005F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南</w:t>
            </w:r>
          </w:p>
        </w:tc>
        <w:tc>
          <w:tcPr>
            <w:tcW w:w="180" w:type="pct"/>
            <w:vMerge w:val="restart"/>
            <w:tcBorders>
              <w:tl2br w:val="nil"/>
              <w:tr2bl w:val="nil"/>
            </w:tcBorders>
            <w:noWrap w:val="0"/>
            <w:vAlign w:val="center"/>
          </w:tcPr>
          <w:p w14:paraId="3AF7545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西</w:t>
            </w:r>
          </w:p>
        </w:tc>
        <w:tc>
          <w:tcPr>
            <w:tcW w:w="184" w:type="pct"/>
            <w:vMerge w:val="restart"/>
            <w:tcBorders>
              <w:tl2br w:val="nil"/>
              <w:tr2bl w:val="nil"/>
            </w:tcBorders>
            <w:noWrap w:val="0"/>
            <w:vAlign w:val="center"/>
          </w:tcPr>
          <w:p w14:paraId="64972BB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北</w:t>
            </w:r>
          </w:p>
        </w:tc>
        <w:tc>
          <w:tcPr>
            <w:tcW w:w="227" w:type="pct"/>
            <w:vMerge w:val="restart"/>
            <w:tcBorders>
              <w:tl2br w:val="nil"/>
              <w:tr2bl w:val="nil"/>
            </w:tcBorders>
            <w:noWrap w:val="0"/>
            <w:vAlign w:val="center"/>
          </w:tcPr>
          <w:p w14:paraId="5E5C677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东</w:t>
            </w:r>
          </w:p>
        </w:tc>
        <w:tc>
          <w:tcPr>
            <w:tcW w:w="227" w:type="pct"/>
            <w:vMerge w:val="restart"/>
            <w:tcBorders>
              <w:tl2br w:val="nil"/>
              <w:tr2bl w:val="nil"/>
            </w:tcBorders>
            <w:noWrap w:val="0"/>
            <w:vAlign w:val="center"/>
          </w:tcPr>
          <w:p w14:paraId="181E739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南</w:t>
            </w:r>
          </w:p>
        </w:tc>
        <w:tc>
          <w:tcPr>
            <w:tcW w:w="227" w:type="pct"/>
            <w:vMerge w:val="restart"/>
            <w:tcBorders>
              <w:tl2br w:val="nil"/>
              <w:tr2bl w:val="nil"/>
            </w:tcBorders>
            <w:noWrap w:val="0"/>
            <w:vAlign w:val="center"/>
          </w:tcPr>
          <w:p w14:paraId="36DCA38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西</w:t>
            </w:r>
          </w:p>
        </w:tc>
        <w:tc>
          <w:tcPr>
            <w:tcW w:w="230" w:type="pct"/>
            <w:vMerge w:val="restart"/>
            <w:tcBorders>
              <w:tl2br w:val="nil"/>
              <w:tr2bl w:val="nil"/>
            </w:tcBorders>
            <w:noWrap w:val="0"/>
            <w:vAlign w:val="center"/>
          </w:tcPr>
          <w:p w14:paraId="6044AA2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北</w:t>
            </w:r>
          </w:p>
        </w:tc>
        <w:tc>
          <w:tcPr>
            <w:tcW w:w="188" w:type="pct"/>
            <w:vMerge w:val="continue"/>
            <w:tcBorders>
              <w:tl2br w:val="nil"/>
              <w:tr2bl w:val="nil"/>
            </w:tcBorders>
            <w:noWrap w:val="0"/>
            <w:vAlign w:val="center"/>
          </w:tcPr>
          <w:p w14:paraId="189E373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rPr>
            </w:pPr>
          </w:p>
        </w:tc>
        <w:tc>
          <w:tcPr>
            <w:tcW w:w="210" w:type="pct"/>
            <w:vMerge w:val="continue"/>
            <w:tcBorders>
              <w:tl2br w:val="nil"/>
              <w:tr2bl w:val="nil"/>
            </w:tcBorders>
            <w:noWrap w:val="0"/>
            <w:vAlign w:val="center"/>
          </w:tcPr>
          <w:p w14:paraId="3EC0556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rPr>
            </w:pPr>
          </w:p>
        </w:tc>
        <w:tc>
          <w:tcPr>
            <w:tcW w:w="690" w:type="pct"/>
            <w:gridSpan w:val="4"/>
            <w:tcBorders>
              <w:tl2br w:val="nil"/>
              <w:tr2bl w:val="nil"/>
            </w:tcBorders>
            <w:noWrap w:val="0"/>
            <w:vAlign w:val="center"/>
          </w:tcPr>
          <w:p w14:paraId="57078C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声压级/dB（A）</w:t>
            </w:r>
          </w:p>
        </w:tc>
        <w:tc>
          <w:tcPr>
            <w:tcW w:w="146" w:type="pct"/>
            <w:vMerge w:val="restart"/>
            <w:tcBorders>
              <w:tl2br w:val="nil"/>
              <w:tr2bl w:val="nil"/>
            </w:tcBorders>
            <w:noWrap w:val="0"/>
            <w:vAlign w:val="center"/>
          </w:tcPr>
          <w:p w14:paraId="5F85365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b/>
                <w:bCs/>
                <w:caps w:val="0"/>
                <w:spacing w:val="0"/>
                <w:sz w:val="21"/>
                <w:szCs w:val="21"/>
                <w:highlight w:val="none"/>
                <w:vertAlign w:val="baseline"/>
                <w:lang w:val="en-US" w:eastAsia="zh-CN"/>
              </w:rPr>
            </w:pPr>
            <w:r>
              <w:rPr>
                <w:rFonts w:hint="eastAsia" w:ascii="Times New Roman" w:hAnsi="Times New Roman" w:eastAsia="宋体" w:cs="宋体"/>
                <w:b/>
                <w:bCs/>
                <w:caps w:val="0"/>
                <w:spacing w:val="0"/>
                <w:sz w:val="21"/>
                <w:szCs w:val="21"/>
                <w:highlight w:val="none"/>
                <w:vertAlign w:val="baseline"/>
                <w:lang w:val="en-US" w:eastAsia="zh-CN"/>
              </w:rPr>
              <w:t>建筑物外距离m</w:t>
            </w:r>
          </w:p>
        </w:tc>
      </w:tr>
      <w:tr w14:paraId="29F59F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8" w:type="pct"/>
            <w:vMerge w:val="continue"/>
            <w:tcBorders>
              <w:tl2br w:val="nil"/>
              <w:tr2bl w:val="nil"/>
            </w:tcBorders>
            <w:noWrap w:val="0"/>
            <w:vAlign w:val="center"/>
          </w:tcPr>
          <w:p w14:paraId="0B13B4A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71" w:type="pct"/>
            <w:vMerge w:val="continue"/>
            <w:tcBorders>
              <w:tl2br w:val="nil"/>
              <w:tr2bl w:val="nil"/>
            </w:tcBorders>
            <w:noWrap w:val="0"/>
            <w:vAlign w:val="center"/>
          </w:tcPr>
          <w:p w14:paraId="042F7CC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38" w:type="pct"/>
            <w:vMerge w:val="continue"/>
            <w:tcBorders>
              <w:tl2br w:val="nil"/>
              <w:tr2bl w:val="nil"/>
            </w:tcBorders>
            <w:noWrap w:val="0"/>
            <w:vAlign w:val="center"/>
          </w:tcPr>
          <w:p w14:paraId="24FCAC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318" w:type="pct"/>
            <w:vMerge w:val="continue"/>
            <w:tcBorders>
              <w:tl2br w:val="nil"/>
              <w:tr2bl w:val="nil"/>
            </w:tcBorders>
            <w:noWrap w:val="0"/>
            <w:vAlign w:val="center"/>
          </w:tcPr>
          <w:p w14:paraId="0766CEB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68" w:type="pct"/>
            <w:vMerge w:val="continue"/>
            <w:tcBorders>
              <w:tl2br w:val="nil"/>
              <w:tr2bl w:val="nil"/>
            </w:tcBorders>
            <w:noWrap w:val="0"/>
            <w:vAlign w:val="center"/>
          </w:tcPr>
          <w:p w14:paraId="452C4C4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48" w:type="pct"/>
            <w:vMerge w:val="continue"/>
            <w:tcBorders>
              <w:tl2br w:val="nil"/>
              <w:tr2bl w:val="nil"/>
            </w:tcBorders>
            <w:noWrap w:val="0"/>
            <w:vAlign w:val="center"/>
          </w:tcPr>
          <w:p w14:paraId="512A3F1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97" w:type="pct"/>
            <w:vMerge w:val="continue"/>
            <w:tcBorders>
              <w:tl2br w:val="nil"/>
              <w:tr2bl w:val="nil"/>
            </w:tcBorders>
            <w:noWrap w:val="0"/>
            <w:vAlign w:val="center"/>
          </w:tcPr>
          <w:p w14:paraId="6366B14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97" w:type="pct"/>
            <w:vMerge w:val="continue"/>
            <w:tcBorders>
              <w:tl2br w:val="nil"/>
              <w:tr2bl w:val="nil"/>
            </w:tcBorders>
            <w:noWrap w:val="0"/>
            <w:vAlign w:val="center"/>
          </w:tcPr>
          <w:p w14:paraId="77B3180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97" w:type="pct"/>
            <w:vMerge w:val="continue"/>
            <w:tcBorders>
              <w:tl2br w:val="nil"/>
              <w:tr2bl w:val="nil"/>
            </w:tcBorders>
            <w:noWrap w:val="0"/>
            <w:vAlign w:val="center"/>
          </w:tcPr>
          <w:p w14:paraId="2A552D5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80" w:type="pct"/>
            <w:vMerge w:val="continue"/>
            <w:tcBorders>
              <w:tl2br w:val="nil"/>
              <w:tr2bl w:val="nil"/>
            </w:tcBorders>
            <w:noWrap w:val="0"/>
            <w:vAlign w:val="center"/>
          </w:tcPr>
          <w:p w14:paraId="018A3E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80" w:type="pct"/>
            <w:vMerge w:val="continue"/>
            <w:tcBorders>
              <w:tl2br w:val="nil"/>
              <w:tr2bl w:val="nil"/>
            </w:tcBorders>
            <w:noWrap w:val="0"/>
            <w:vAlign w:val="center"/>
          </w:tcPr>
          <w:p w14:paraId="52F2291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80" w:type="pct"/>
            <w:vMerge w:val="continue"/>
            <w:tcBorders>
              <w:tl2br w:val="nil"/>
              <w:tr2bl w:val="nil"/>
            </w:tcBorders>
            <w:noWrap w:val="0"/>
            <w:vAlign w:val="center"/>
          </w:tcPr>
          <w:p w14:paraId="69D7110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84" w:type="pct"/>
            <w:vMerge w:val="continue"/>
            <w:tcBorders>
              <w:tl2br w:val="nil"/>
              <w:tr2bl w:val="nil"/>
            </w:tcBorders>
            <w:noWrap w:val="0"/>
            <w:vAlign w:val="center"/>
          </w:tcPr>
          <w:p w14:paraId="0D20C25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27" w:type="pct"/>
            <w:vMerge w:val="continue"/>
            <w:tcBorders>
              <w:tl2br w:val="nil"/>
              <w:tr2bl w:val="nil"/>
            </w:tcBorders>
            <w:noWrap w:val="0"/>
            <w:vAlign w:val="center"/>
          </w:tcPr>
          <w:p w14:paraId="1CEA069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27" w:type="pct"/>
            <w:vMerge w:val="continue"/>
            <w:tcBorders>
              <w:tl2br w:val="nil"/>
              <w:tr2bl w:val="nil"/>
            </w:tcBorders>
            <w:noWrap w:val="0"/>
            <w:vAlign w:val="center"/>
          </w:tcPr>
          <w:p w14:paraId="0910669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27" w:type="pct"/>
            <w:vMerge w:val="continue"/>
            <w:tcBorders>
              <w:tl2br w:val="nil"/>
              <w:tr2bl w:val="nil"/>
            </w:tcBorders>
            <w:noWrap w:val="0"/>
            <w:vAlign w:val="center"/>
          </w:tcPr>
          <w:p w14:paraId="20D57B7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30" w:type="pct"/>
            <w:vMerge w:val="continue"/>
            <w:tcBorders>
              <w:tl2br w:val="nil"/>
              <w:tr2bl w:val="nil"/>
            </w:tcBorders>
            <w:noWrap w:val="0"/>
            <w:vAlign w:val="center"/>
          </w:tcPr>
          <w:p w14:paraId="3A33B95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88" w:type="pct"/>
            <w:vMerge w:val="continue"/>
            <w:tcBorders>
              <w:tl2br w:val="nil"/>
              <w:tr2bl w:val="nil"/>
            </w:tcBorders>
            <w:noWrap w:val="0"/>
            <w:vAlign w:val="center"/>
          </w:tcPr>
          <w:p w14:paraId="65FEEC8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210" w:type="pct"/>
            <w:vMerge w:val="continue"/>
            <w:tcBorders>
              <w:tl2br w:val="nil"/>
              <w:tr2bl w:val="nil"/>
            </w:tcBorders>
            <w:noWrap w:val="0"/>
            <w:vAlign w:val="center"/>
          </w:tcPr>
          <w:p w14:paraId="05B9DF3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rPr>
            </w:pPr>
          </w:p>
        </w:tc>
        <w:tc>
          <w:tcPr>
            <w:tcW w:w="171" w:type="pct"/>
            <w:tcBorders>
              <w:tl2br w:val="nil"/>
              <w:tr2bl w:val="nil"/>
            </w:tcBorders>
            <w:noWrap w:val="0"/>
            <w:vAlign w:val="center"/>
          </w:tcPr>
          <w:p w14:paraId="1710580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东</w:t>
            </w:r>
          </w:p>
        </w:tc>
        <w:tc>
          <w:tcPr>
            <w:tcW w:w="187" w:type="pct"/>
            <w:tcBorders>
              <w:tl2br w:val="nil"/>
              <w:tr2bl w:val="nil"/>
            </w:tcBorders>
            <w:noWrap w:val="0"/>
            <w:vAlign w:val="center"/>
          </w:tcPr>
          <w:p w14:paraId="385C927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南</w:t>
            </w:r>
          </w:p>
        </w:tc>
        <w:tc>
          <w:tcPr>
            <w:tcW w:w="152" w:type="pct"/>
            <w:tcBorders>
              <w:tl2br w:val="nil"/>
              <w:tr2bl w:val="nil"/>
            </w:tcBorders>
            <w:noWrap w:val="0"/>
            <w:vAlign w:val="center"/>
          </w:tcPr>
          <w:p w14:paraId="07EE6DB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西</w:t>
            </w:r>
          </w:p>
        </w:tc>
        <w:tc>
          <w:tcPr>
            <w:tcW w:w="178" w:type="pct"/>
            <w:tcBorders>
              <w:tl2br w:val="nil"/>
              <w:tr2bl w:val="nil"/>
            </w:tcBorders>
            <w:noWrap w:val="0"/>
            <w:vAlign w:val="center"/>
          </w:tcPr>
          <w:p w14:paraId="603CE4F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r>
              <w:rPr>
                <w:rFonts w:hint="eastAsia" w:ascii="Times New Roman" w:hAnsi="Times New Roman" w:eastAsia="宋体" w:cs="宋体"/>
                <w:caps w:val="0"/>
                <w:spacing w:val="0"/>
                <w:sz w:val="21"/>
                <w:szCs w:val="21"/>
                <w:highlight w:val="none"/>
                <w:vertAlign w:val="baseline"/>
                <w:lang w:val="en-US" w:eastAsia="zh-CN"/>
              </w:rPr>
              <w:t>北</w:t>
            </w:r>
          </w:p>
        </w:tc>
        <w:tc>
          <w:tcPr>
            <w:tcW w:w="146" w:type="pct"/>
            <w:vMerge w:val="continue"/>
            <w:tcBorders>
              <w:tl2br w:val="nil"/>
              <w:tr2bl w:val="nil"/>
            </w:tcBorders>
            <w:noWrap w:val="0"/>
            <w:vAlign w:val="center"/>
          </w:tcPr>
          <w:p w14:paraId="5CEA18D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vertAlign w:val="baseline"/>
                <w:lang w:val="en-US" w:eastAsia="zh-CN" w:bidi="zh-CN"/>
              </w:rPr>
            </w:pPr>
          </w:p>
        </w:tc>
      </w:tr>
      <w:tr w14:paraId="4987E7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8" w:type="pct"/>
            <w:tcBorders>
              <w:tl2br w:val="nil"/>
              <w:tr2bl w:val="nil"/>
            </w:tcBorders>
            <w:shd w:val="clear" w:color="auto" w:fill="auto"/>
            <w:noWrap w:val="0"/>
            <w:vAlign w:val="center"/>
          </w:tcPr>
          <w:p w14:paraId="34340E9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bCs/>
                <w:caps w:val="0"/>
                <w:spacing w:val="0"/>
                <w:kern w:val="2"/>
                <w:sz w:val="21"/>
                <w:szCs w:val="21"/>
                <w:highlight w:val="none"/>
                <w:vertAlign w:val="baseline"/>
                <w:lang w:val="en-US" w:eastAsia="zh-CN" w:bidi="ar-SA"/>
              </w:rPr>
            </w:pPr>
            <w:r>
              <w:rPr>
                <w:rFonts w:hint="eastAsia" w:ascii="Times New Roman" w:hAnsi="Times New Roman" w:cs="宋体"/>
                <w:caps w:val="0"/>
                <w:spacing w:val="0"/>
                <w:sz w:val="21"/>
                <w:szCs w:val="21"/>
                <w:highlight w:val="none"/>
                <w:vertAlign w:val="baseline"/>
                <w:lang w:val="en-US" w:eastAsia="zh-CN"/>
              </w:rPr>
              <w:t>7</w:t>
            </w:r>
          </w:p>
        </w:tc>
        <w:tc>
          <w:tcPr>
            <w:tcW w:w="271" w:type="pct"/>
            <w:tcBorders>
              <w:tl2br w:val="nil"/>
              <w:tr2bl w:val="nil"/>
            </w:tcBorders>
            <w:noWrap w:val="0"/>
            <w:vAlign w:val="center"/>
          </w:tcPr>
          <w:p w14:paraId="4FA4ABC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碳纳米管烘干车间</w:t>
            </w:r>
          </w:p>
        </w:tc>
        <w:tc>
          <w:tcPr>
            <w:tcW w:w="238" w:type="pct"/>
            <w:tcBorders>
              <w:tl2br w:val="nil"/>
              <w:tr2bl w:val="nil"/>
            </w:tcBorders>
            <w:noWrap w:val="0"/>
            <w:vAlign w:val="center"/>
          </w:tcPr>
          <w:p w14:paraId="452DBA3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default" w:ascii="Times New Roman" w:hAnsi="Times New Roman" w:eastAsia="宋体" w:cs="宋体"/>
                <w:bCs w:val="0"/>
                <w:caps w:val="0"/>
                <w:spacing w:val="0"/>
                <w:sz w:val="21"/>
                <w:szCs w:val="21"/>
                <w:highlight w:val="none"/>
                <w:lang w:val="en-US" w:eastAsia="zh-CN" w:bidi="ar"/>
              </w:rPr>
            </w:pPr>
            <w:r>
              <w:rPr>
                <w:rStyle w:val="135"/>
                <w:rFonts w:hint="eastAsia" w:ascii="Times New Roman" w:hAnsi="Times New Roman" w:cs="宋体"/>
                <w:bCs w:val="0"/>
                <w:caps w:val="0"/>
                <w:spacing w:val="0"/>
                <w:sz w:val="21"/>
                <w:szCs w:val="21"/>
                <w:highlight w:val="none"/>
                <w:lang w:val="en-US" w:eastAsia="zh-CN" w:bidi="ar"/>
              </w:rPr>
              <w:t>滚料</w:t>
            </w:r>
            <w:r>
              <w:rPr>
                <w:rStyle w:val="135"/>
                <w:rFonts w:hint="default" w:ascii="Times New Roman" w:hAnsi="Times New Roman" w:eastAsia="宋体" w:cs="宋体"/>
                <w:bCs w:val="0"/>
                <w:caps w:val="0"/>
                <w:spacing w:val="0"/>
                <w:sz w:val="21"/>
                <w:szCs w:val="21"/>
                <w:highlight w:val="none"/>
                <w:lang w:val="en-US" w:eastAsia="zh-CN" w:bidi="ar"/>
              </w:rPr>
              <w:t>机</w:t>
            </w:r>
          </w:p>
        </w:tc>
        <w:tc>
          <w:tcPr>
            <w:tcW w:w="318" w:type="pct"/>
            <w:tcBorders>
              <w:tl2br w:val="nil"/>
              <w:tr2bl w:val="nil"/>
            </w:tcBorders>
            <w:noWrap w:val="0"/>
            <w:vAlign w:val="center"/>
          </w:tcPr>
          <w:p w14:paraId="6D8DCD8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spacing w:val="0"/>
                <w:sz w:val="21"/>
                <w:szCs w:val="21"/>
                <w:highlight w:val="none"/>
                <w:lang w:val="en-US" w:eastAsia="zh-CN"/>
              </w:rPr>
              <w:t>/</w:t>
            </w:r>
          </w:p>
        </w:tc>
        <w:tc>
          <w:tcPr>
            <w:tcW w:w="268" w:type="pct"/>
            <w:tcBorders>
              <w:tl2br w:val="nil"/>
              <w:tr2bl w:val="nil"/>
            </w:tcBorders>
            <w:noWrap w:val="0"/>
            <w:vAlign w:val="center"/>
          </w:tcPr>
          <w:p w14:paraId="34B892E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70</w:t>
            </w:r>
          </w:p>
        </w:tc>
        <w:tc>
          <w:tcPr>
            <w:tcW w:w="248" w:type="pct"/>
            <w:vMerge w:val="restart"/>
            <w:tcBorders>
              <w:tl2br w:val="nil"/>
              <w:tr2bl w:val="nil"/>
            </w:tcBorders>
            <w:noWrap w:val="0"/>
            <w:vAlign w:val="center"/>
          </w:tcPr>
          <w:p w14:paraId="33C5A4E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r>
              <w:rPr>
                <w:rFonts w:hint="eastAsia" w:ascii="Times New Roman" w:hAnsi="Times New Roman" w:eastAsia="宋体" w:cs="宋体"/>
                <w:caps w:val="0"/>
                <w:spacing w:val="0"/>
                <w:sz w:val="21"/>
                <w:szCs w:val="21"/>
                <w:highlight w:val="none"/>
                <w:vertAlign w:val="baseline"/>
                <w:lang w:val="en-US" w:eastAsia="zh-CN"/>
              </w:rPr>
              <w:t>基础减振、厂房隔声</w:t>
            </w:r>
          </w:p>
        </w:tc>
        <w:tc>
          <w:tcPr>
            <w:tcW w:w="197" w:type="pct"/>
            <w:tcBorders>
              <w:tl2br w:val="nil"/>
              <w:tr2bl w:val="nil"/>
            </w:tcBorders>
            <w:noWrap w:val="0"/>
            <w:vAlign w:val="center"/>
          </w:tcPr>
          <w:p w14:paraId="544D5E7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35</w:t>
            </w:r>
          </w:p>
        </w:tc>
        <w:tc>
          <w:tcPr>
            <w:tcW w:w="197" w:type="pct"/>
            <w:tcBorders>
              <w:tl2br w:val="nil"/>
              <w:tr2bl w:val="nil"/>
            </w:tcBorders>
            <w:noWrap w:val="0"/>
            <w:vAlign w:val="center"/>
          </w:tcPr>
          <w:p w14:paraId="72BB2F0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26</w:t>
            </w:r>
          </w:p>
        </w:tc>
        <w:tc>
          <w:tcPr>
            <w:tcW w:w="197" w:type="pct"/>
            <w:tcBorders>
              <w:tl2br w:val="nil"/>
              <w:tr2bl w:val="nil"/>
            </w:tcBorders>
            <w:noWrap w:val="0"/>
            <w:vAlign w:val="center"/>
          </w:tcPr>
          <w:p w14:paraId="252ADE2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w:t>
            </w:r>
          </w:p>
        </w:tc>
        <w:tc>
          <w:tcPr>
            <w:tcW w:w="180" w:type="pct"/>
            <w:tcBorders>
              <w:tl2br w:val="nil"/>
              <w:tr2bl w:val="nil"/>
            </w:tcBorders>
            <w:noWrap w:val="0"/>
            <w:vAlign w:val="center"/>
          </w:tcPr>
          <w:p w14:paraId="41B7B1C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w:t>
            </w:r>
          </w:p>
        </w:tc>
        <w:tc>
          <w:tcPr>
            <w:tcW w:w="180" w:type="pct"/>
            <w:tcBorders>
              <w:tl2br w:val="nil"/>
              <w:tr2bl w:val="nil"/>
            </w:tcBorders>
            <w:noWrap w:val="0"/>
            <w:vAlign w:val="center"/>
          </w:tcPr>
          <w:p w14:paraId="0DE7B93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26</w:t>
            </w:r>
          </w:p>
        </w:tc>
        <w:tc>
          <w:tcPr>
            <w:tcW w:w="180" w:type="pct"/>
            <w:tcBorders>
              <w:tl2br w:val="nil"/>
              <w:tr2bl w:val="nil"/>
            </w:tcBorders>
            <w:noWrap w:val="0"/>
            <w:vAlign w:val="center"/>
          </w:tcPr>
          <w:p w14:paraId="636B40A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8</w:t>
            </w:r>
          </w:p>
        </w:tc>
        <w:tc>
          <w:tcPr>
            <w:tcW w:w="184" w:type="pct"/>
            <w:tcBorders>
              <w:tl2br w:val="nil"/>
              <w:tr2bl w:val="nil"/>
            </w:tcBorders>
            <w:noWrap w:val="0"/>
            <w:vAlign w:val="center"/>
          </w:tcPr>
          <w:p w14:paraId="12A6480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26</w:t>
            </w:r>
          </w:p>
        </w:tc>
        <w:tc>
          <w:tcPr>
            <w:tcW w:w="227" w:type="pct"/>
            <w:tcBorders>
              <w:tl2br w:val="nil"/>
              <w:tr2bl w:val="nil"/>
            </w:tcBorders>
            <w:noWrap w:val="0"/>
            <w:vAlign w:val="center"/>
          </w:tcPr>
          <w:p w14:paraId="5358CEA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58.0</w:t>
            </w:r>
          </w:p>
        </w:tc>
        <w:tc>
          <w:tcPr>
            <w:tcW w:w="227" w:type="pct"/>
            <w:tcBorders>
              <w:tl2br w:val="nil"/>
              <w:tr2bl w:val="nil"/>
            </w:tcBorders>
            <w:noWrap w:val="0"/>
            <w:vAlign w:val="center"/>
          </w:tcPr>
          <w:p w14:paraId="69419B2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41.7</w:t>
            </w:r>
          </w:p>
        </w:tc>
        <w:tc>
          <w:tcPr>
            <w:tcW w:w="227" w:type="pct"/>
            <w:tcBorders>
              <w:tl2br w:val="nil"/>
              <w:tr2bl w:val="nil"/>
            </w:tcBorders>
            <w:noWrap w:val="0"/>
            <w:vAlign w:val="center"/>
          </w:tcPr>
          <w:p w14:paraId="309933C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51.9</w:t>
            </w:r>
          </w:p>
        </w:tc>
        <w:tc>
          <w:tcPr>
            <w:tcW w:w="230" w:type="pct"/>
            <w:tcBorders>
              <w:tl2br w:val="nil"/>
              <w:tr2bl w:val="nil"/>
            </w:tcBorders>
            <w:noWrap w:val="0"/>
            <w:vAlign w:val="center"/>
          </w:tcPr>
          <w:p w14:paraId="6326DF7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41.7</w:t>
            </w:r>
          </w:p>
        </w:tc>
        <w:tc>
          <w:tcPr>
            <w:tcW w:w="188" w:type="pct"/>
            <w:vMerge w:val="restart"/>
            <w:tcBorders>
              <w:tl2br w:val="nil"/>
              <w:tr2bl w:val="nil"/>
            </w:tcBorders>
            <w:noWrap w:val="0"/>
            <w:vAlign w:val="center"/>
          </w:tcPr>
          <w:p w14:paraId="0973A04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r>
              <w:rPr>
                <w:rFonts w:hint="eastAsia" w:ascii="Times New Roman" w:hAnsi="Times New Roman" w:eastAsia="宋体" w:cs="宋体"/>
                <w:caps w:val="0"/>
                <w:spacing w:val="0"/>
                <w:sz w:val="21"/>
                <w:szCs w:val="21"/>
                <w:highlight w:val="none"/>
                <w:vertAlign w:val="baseline"/>
                <w:lang w:val="en-US" w:eastAsia="zh-CN"/>
              </w:rPr>
              <w:t>20h</w:t>
            </w:r>
          </w:p>
        </w:tc>
        <w:tc>
          <w:tcPr>
            <w:tcW w:w="210" w:type="pct"/>
            <w:tcBorders>
              <w:tl2br w:val="nil"/>
              <w:tr2bl w:val="nil"/>
            </w:tcBorders>
            <w:noWrap w:val="0"/>
            <w:vAlign w:val="center"/>
          </w:tcPr>
          <w:p w14:paraId="4B8CE07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w:t>
            </w:r>
          </w:p>
        </w:tc>
        <w:tc>
          <w:tcPr>
            <w:tcW w:w="171" w:type="pct"/>
            <w:tcBorders>
              <w:tl2br w:val="nil"/>
              <w:tr2bl w:val="nil"/>
            </w:tcBorders>
            <w:noWrap w:val="0"/>
            <w:vAlign w:val="center"/>
          </w:tcPr>
          <w:p w14:paraId="4975E7A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38.0</w:t>
            </w:r>
          </w:p>
        </w:tc>
        <w:tc>
          <w:tcPr>
            <w:tcW w:w="187" w:type="pct"/>
            <w:tcBorders>
              <w:tl2br w:val="nil"/>
              <w:tr2bl w:val="nil"/>
            </w:tcBorders>
            <w:noWrap w:val="0"/>
            <w:vAlign w:val="center"/>
          </w:tcPr>
          <w:p w14:paraId="698E82C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21.7</w:t>
            </w:r>
          </w:p>
        </w:tc>
        <w:tc>
          <w:tcPr>
            <w:tcW w:w="152" w:type="pct"/>
            <w:tcBorders>
              <w:tl2br w:val="nil"/>
              <w:tr2bl w:val="nil"/>
            </w:tcBorders>
            <w:noWrap w:val="0"/>
            <w:vAlign w:val="center"/>
          </w:tcPr>
          <w:p w14:paraId="51A85B7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31.9</w:t>
            </w:r>
          </w:p>
        </w:tc>
        <w:tc>
          <w:tcPr>
            <w:tcW w:w="178" w:type="pct"/>
            <w:tcBorders>
              <w:tl2br w:val="nil"/>
              <w:tr2bl w:val="nil"/>
            </w:tcBorders>
            <w:noWrap w:val="0"/>
            <w:vAlign w:val="center"/>
          </w:tcPr>
          <w:p w14:paraId="777D9F3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21.7</w:t>
            </w:r>
          </w:p>
        </w:tc>
        <w:tc>
          <w:tcPr>
            <w:tcW w:w="146" w:type="pct"/>
            <w:tcBorders>
              <w:tl2br w:val="nil"/>
              <w:tr2bl w:val="nil"/>
            </w:tcBorders>
            <w:noWrap w:val="0"/>
            <w:vAlign w:val="center"/>
          </w:tcPr>
          <w:p w14:paraId="52EBB7B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w:t>
            </w:r>
          </w:p>
        </w:tc>
      </w:tr>
      <w:tr w14:paraId="455A4C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8" w:type="pct"/>
            <w:tcBorders>
              <w:tl2br w:val="nil"/>
              <w:tr2bl w:val="nil"/>
            </w:tcBorders>
            <w:shd w:val="clear" w:color="auto" w:fill="auto"/>
            <w:noWrap w:val="0"/>
            <w:vAlign w:val="center"/>
          </w:tcPr>
          <w:p w14:paraId="73A0927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bCs/>
                <w:caps w:val="0"/>
                <w:spacing w:val="0"/>
                <w:kern w:val="2"/>
                <w:sz w:val="21"/>
                <w:szCs w:val="21"/>
                <w:highlight w:val="none"/>
                <w:vertAlign w:val="baseline"/>
                <w:lang w:val="en-US" w:eastAsia="zh-CN" w:bidi="ar-SA"/>
              </w:rPr>
            </w:pPr>
            <w:r>
              <w:rPr>
                <w:rFonts w:hint="eastAsia" w:ascii="Times New Roman" w:hAnsi="Times New Roman" w:eastAsia="宋体" w:cs="宋体"/>
                <w:caps w:val="0"/>
                <w:spacing w:val="0"/>
                <w:sz w:val="21"/>
                <w:szCs w:val="21"/>
                <w:highlight w:val="none"/>
                <w:vertAlign w:val="baseline"/>
                <w:lang w:val="en-US" w:eastAsia="zh-CN"/>
              </w:rPr>
              <w:t>8</w:t>
            </w:r>
          </w:p>
        </w:tc>
        <w:tc>
          <w:tcPr>
            <w:tcW w:w="271" w:type="pct"/>
            <w:vMerge w:val="restart"/>
            <w:tcBorders>
              <w:tl2br w:val="nil"/>
              <w:tr2bl w:val="nil"/>
            </w:tcBorders>
            <w:noWrap w:val="0"/>
            <w:vAlign w:val="center"/>
          </w:tcPr>
          <w:p w14:paraId="4AF1A22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napToGrid w:val="0"/>
                <w:color w:val="auto"/>
                <w:spacing w:val="0"/>
                <w:sz w:val="21"/>
                <w:szCs w:val="21"/>
                <w:highlight w:val="none"/>
                <w:lang w:val="en-US" w:eastAsia="zh-CN"/>
              </w:rPr>
              <w:t>石墨烘干车间</w:t>
            </w:r>
          </w:p>
        </w:tc>
        <w:tc>
          <w:tcPr>
            <w:tcW w:w="238" w:type="pct"/>
            <w:tcBorders>
              <w:tl2br w:val="nil"/>
              <w:tr2bl w:val="nil"/>
            </w:tcBorders>
            <w:noWrap w:val="0"/>
            <w:vAlign w:val="center"/>
          </w:tcPr>
          <w:p w14:paraId="7E4AE46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default" w:ascii="Times New Roman" w:hAnsi="Times New Roman" w:eastAsia="宋体" w:cs="宋体"/>
                <w:bCs w:val="0"/>
                <w:caps w:val="0"/>
                <w:spacing w:val="0"/>
                <w:sz w:val="21"/>
                <w:szCs w:val="21"/>
                <w:highlight w:val="none"/>
                <w:lang w:val="en-US" w:eastAsia="zh-CN" w:bidi="ar"/>
              </w:rPr>
            </w:pPr>
            <w:r>
              <w:rPr>
                <w:rStyle w:val="135"/>
                <w:rFonts w:hint="default" w:ascii="Times New Roman" w:hAnsi="Times New Roman" w:eastAsia="宋体" w:cs="宋体"/>
                <w:bCs w:val="0"/>
                <w:caps w:val="0"/>
                <w:spacing w:val="0"/>
                <w:sz w:val="21"/>
                <w:szCs w:val="21"/>
                <w:highlight w:val="none"/>
                <w:lang w:val="en-US" w:eastAsia="zh-CN" w:bidi="ar"/>
              </w:rPr>
              <w:t>滚筛机</w:t>
            </w:r>
          </w:p>
        </w:tc>
        <w:tc>
          <w:tcPr>
            <w:tcW w:w="318" w:type="pct"/>
            <w:tcBorders>
              <w:tl2br w:val="nil"/>
              <w:tr2bl w:val="nil"/>
            </w:tcBorders>
            <w:noWrap w:val="0"/>
            <w:vAlign w:val="center"/>
          </w:tcPr>
          <w:p w14:paraId="794D235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spacing w:val="0"/>
                <w:sz w:val="21"/>
                <w:szCs w:val="21"/>
                <w:highlight w:val="none"/>
                <w:lang w:val="en-US" w:eastAsia="zh-CN"/>
              </w:rPr>
              <w:t>/</w:t>
            </w:r>
          </w:p>
        </w:tc>
        <w:tc>
          <w:tcPr>
            <w:tcW w:w="268" w:type="pct"/>
            <w:tcBorders>
              <w:tl2br w:val="nil"/>
              <w:tr2bl w:val="nil"/>
            </w:tcBorders>
            <w:noWrap w:val="0"/>
            <w:vAlign w:val="center"/>
          </w:tcPr>
          <w:p w14:paraId="03C93C1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75</w:t>
            </w:r>
          </w:p>
        </w:tc>
        <w:tc>
          <w:tcPr>
            <w:tcW w:w="248" w:type="pct"/>
            <w:vMerge w:val="continue"/>
            <w:tcBorders>
              <w:tl2br w:val="nil"/>
              <w:tr2bl w:val="nil"/>
            </w:tcBorders>
            <w:noWrap w:val="0"/>
            <w:vAlign w:val="center"/>
          </w:tcPr>
          <w:p w14:paraId="649056C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197" w:type="pct"/>
            <w:tcBorders>
              <w:tl2br w:val="nil"/>
              <w:tr2bl w:val="nil"/>
            </w:tcBorders>
            <w:noWrap w:val="0"/>
            <w:vAlign w:val="center"/>
          </w:tcPr>
          <w:p w14:paraId="56B2352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-25</w:t>
            </w:r>
          </w:p>
        </w:tc>
        <w:tc>
          <w:tcPr>
            <w:tcW w:w="197" w:type="pct"/>
            <w:tcBorders>
              <w:tl2br w:val="nil"/>
              <w:tr2bl w:val="nil"/>
            </w:tcBorders>
            <w:noWrap w:val="0"/>
            <w:vAlign w:val="center"/>
          </w:tcPr>
          <w:p w14:paraId="39022E6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-20</w:t>
            </w:r>
          </w:p>
        </w:tc>
        <w:tc>
          <w:tcPr>
            <w:tcW w:w="197" w:type="pct"/>
            <w:tcBorders>
              <w:tl2br w:val="nil"/>
              <w:tr2bl w:val="nil"/>
            </w:tcBorders>
            <w:noWrap w:val="0"/>
            <w:vAlign w:val="center"/>
          </w:tcPr>
          <w:p w14:paraId="5D670B7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w:t>
            </w:r>
          </w:p>
        </w:tc>
        <w:tc>
          <w:tcPr>
            <w:tcW w:w="180" w:type="pct"/>
            <w:tcBorders>
              <w:tl2br w:val="nil"/>
              <w:tr2bl w:val="nil"/>
            </w:tcBorders>
            <w:noWrap w:val="0"/>
            <w:vAlign w:val="center"/>
          </w:tcPr>
          <w:p w14:paraId="5BEAAD3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10</w:t>
            </w:r>
          </w:p>
        </w:tc>
        <w:tc>
          <w:tcPr>
            <w:tcW w:w="180" w:type="pct"/>
            <w:tcBorders>
              <w:tl2br w:val="nil"/>
              <w:tr2bl w:val="nil"/>
            </w:tcBorders>
            <w:noWrap w:val="0"/>
            <w:vAlign w:val="center"/>
          </w:tcPr>
          <w:p w14:paraId="06E7531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20</w:t>
            </w:r>
          </w:p>
        </w:tc>
        <w:tc>
          <w:tcPr>
            <w:tcW w:w="180" w:type="pct"/>
            <w:tcBorders>
              <w:tl2br w:val="nil"/>
              <w:tr2bl w:val="nil"/>
            </w:tcBorders>
            <w:noWrap w:val="0"/>
            <w:vAlign w:val="center"/>
          </w:tcPr>
          <w:p w14:paraId="6ACC23D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20</w:t>
            </w:r>
          </w:p>
        </w:tc>
        <w:tc>
          <w:tcPr>
            <w:tcW w:w="184" w:type="pct"/>
            <w:tcBorders>
              <w:tl2br w:val="nil"/>
              <w:tr2bl w:val="nil"/>
            </w:tcBorders>
            <w:noWrap w:val="0"/>
            <w:vAlign w:val="center"/>
          </w:tcPr>
          <w:p w14:paraId="711DBFA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40</w:t>
            </w:r>
          </w:p>
        </w:tc>
        <w:tc>
          <w:tcPr>
            <w:tcW w:w="227" w:type="pct"/>
            <w:tcBorders>
              <w:tl2br w:val="nil"/>
              <w:tr2bl w:val="nil"/>
            </w:tcBorders>
            <w:noWrap w:val="0"/>
            <w:vAlign w:val="center"/>
          </w:tcPr>
          <w:p w14:paraId="5E838C7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55.0</w:t>
            </w:r>
          </w:p>
        </w:tc>
        <w:tc>
          <w:tcPr>
            <w:tcW w:w="227" w:type="pct"/>
            <w:tcBorders>
              <w:tl2br w:val="nil"/>
              <w:tr2bl w:val="nil"/>
            </w:tcBorders>
            <w:noWrap w:val="0"/>
            <w:vAlign w:val="center"/>
          </w:tcPr>
          <w:p w14:paraId="6B4EDBE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49.0</w:t>
            </w:r>
          </w:p>
        </w:tc>
        <w:tc>
          <w:tcPr>
            <w:tcW w:w="227" w:type="pct"/>
            <w:tcBorders>
              <w:tl2br w:val="nil"/>
              <w:tr2bl w:val="nil"/>
            </w:tcBorders>
            <w:noWrap w:val="0"/>
            <w:vAlign w:val="center"/>
          </w:tcPr>
          <w:p w14:paraId="1D063DD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49.0</w:t>
            </w:r>
          </w:p>
        </w:tc>
        <w:tc>
          <w:tcPr>
            <w:tcW w:w="230" w:type="pct"/>
            <w:tcBorders>
              <w:tl2br w:val="nil"/>
              <w:tr2bl w:val="nil"/>
            </w:tcBorders>
            <w:noWrap w:val="0"/>
            <w:vAlign w:val="center"/>
          </w:tcPr>
          <w:p w14:paraId="0DB12ED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43.0</w:t>
            </w:r>
          </w:p>
        </w:tc>
        <w:tc>
          <w:tcPr>
            <w:tcW w:w="188" w:type="pct"/>
            <w:vMerge w:val="continue"/>
            <w:tcBorders>
              <w:tl2br w:val="nil"/>
              <w:tr2bl w:val="nil"/>
            </w:tcBorders>
            <w:noWrap w:val="0"/>
            <w:vAlign w:val="center"/>
          </w:tcPr>
          <w:p w14:paraId="7ADE253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10" w:type="pct"/>
            <w:tcBorders>
              <w:tl2br w:val="nil"/>
              <w:tr2bl w:val="nil"/>
            </w:tcBorders>
            <w:noWrap w:val="0"/>
            <w:vAlign w:val="center"/>
          </w:tcPr>
          <w:p w14:paraId="2C12BDD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w:t>
            </w:r>
          </w:p>
        </w:tc>
        <w:tc>
          <w:tcPr>
            <w:tcW w:w="171" w:type="pct"/>
            <w:tcBorders>
              <w:tl2br w:val="nil"/>
              <w:tr2bl w:val="nil"/>
            </w:tcBorders>
            <w:noWrap w:val="0"/>
            <w:vAlign w:val="center"/>
          </w:tcPr>
          <w:p w14:paraId="45FF582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35.0</w:t>
            </w:r>
          </w:p>
        </w:tc>
        <w:tc>
          <w:tcPr>
            <w:tcW w:w="187" w:type="pct"/>
            <w:tcBorders>
              <w:tl2br w:val="nil"/>
              <w:tr2bl w:val="nil"/>
            </w:tcBorders>
            <w:noWrap w:val="0"/>
            <w:vAlign w:val="center"/>
          </w:tcPr>
          <w:p w14:paraId="2F54139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29.0</w:t>
            </w:r>
          </w:p>
        </w:tc>
        <w:tc>
          <w:tcPr>
            <w:tcW w:w="152" w:type="pct"/>
            <w:tcBorders>
              <w:tl2br w:val="nil"/>
              <w:tr2bl w:val="nil"/>
            </w:tcBorders>
            <w:noWrap w:val="0"/>
            <w:vAlign w:val="center"/>
          </w:tcPr>
          <w:p w14:paraId="51532C5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29.0</w:t>
            </w:r>
          </w:p>
        </w:tc>
        <w:tc>
          <w:tcPr>
            <w:tcW w:w="178" w:type="pct"/>
            <w:tcBorders>
              <w:tl2br w:val="nil"/>
              <w:tr2bl w:val="nil"/>
            </w:tcBorders>
            <w:noWrap w:val="0"/>
            <w:vAlign w:val="center"/>
          </w:tcPr>
          <w:p w14:paraId="34B9819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23.0</w:t>
            </w:r>
          </w:p>
        </w:tc>
        <w:tc>
          <w:tcPr>
            <w:tcW w:w="146" w:type="pct"/>
            <w:tcBorders>
              <w:tl2br w:val="nil"/>
              <w:tr2bl w:val="nil"/>
            </w:tcBorders>
            <w:noWrap w:val="0"/>
            <w:vAlign w:val="center"/>
          </w:tcPr>
          <w:p w14:paraId="398A1FB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w:t>
            </w:r>
          </w:p>
        </w:tc>
      </w:tr>
      <w:tr w14:paraId="574661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8" w:type="pct"/>
            <w:tcBorders>
              <w:tl2br w:val="nil"/>
              <w:tr2bl w:val="nil"/>
            </w:tcBorders>
            <w:shd w:val="clear" w:color="auto" w:fill="auto"/>
            <w:noWrap w:val="0"/>
            <w:vAlign w:val="center"/>
          </w:tcPr>
          <w:p w14:paraId="5F20930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bCs/>
                <w:caps w:val="0"/>
                <w:spacing w:val="0"/>
                <w:kern w:val="2"/>
                <w:sz w:val="21"/>
                <w:szCs w:val="21"/>
                <w:highlight w:val="none"/>
                <w:vertAlign w:val="baseline"/>
                <w:lang w:val="en-US" w:eastAsia="zh-CN" w:bidi="ar-SA"/>
              </w:rPr>
            </w:pPr>
            <w:r>
              <w:rPr>
                <w:rFonts w:hint="eastAsia" w:ascii="Times New Roman" w:hAnsi="Times New Roman" w:eastAsia="宋体" w:cs="宋体"/>
                <w:caps w:val="0"/>
                <w:spacing w:val="0"/>
                <w:sz w:val="21"/>
                <w:szCs w:val="21"/>
                <w:highlight w:val="none"/>
                <w:vertAlign w:val="baseline"/>
                <w:lang w:val="en-US" w:eastAsia="zh-CN"/>
              </w:rPr>
              <w:t>9</w:t>
            </w:r>
          </w:p>
        </w:tc>
        <w:tc>
          <w:tcPr>
            <w:tcW w:w="271" w:type="pct"/>
            <w:vMerge w:val="continue"/>
            <w:tcBorders>
              <w:tl2br w:val="nil"/>
              <w:tr2bl w:val="nil"/>
            </w:tcBorders>
            <w:noWrap w:val="0"/>
            <w:vAlign w:val="center"/>
          </w:tcPr>
          <w:p w14:paraId="626E3BD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p>
        </w:tc>
        <w:tc>
          <w:tcPr>
            <w:tcW w:w="238" w:type="pct"/>
            <w:tcBorders>
              <w:tl2br w:val="nil"/>
              <w:tr2bl w:val="nil"/>
            </w:tcBorders>
            <w:noWrap w:val="0"/>
            <w:vAlign w:val="center"/>
          </w:tcPr>
          <w:p w14:paraId="176B62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default" w:ascii="Times New Roman" w:hAnsi="Times New Roman" w:eastAsia="宋体" w:cs="宋体"/>
                <w:bCs w:val="0"/>
                <w:caps w:val="0"/>
                <w:spacing w:val="0"/>
                <w:sz w:val="21"/>
                <w:szCs w:val="21"/>
                <w:highlight w:val="none"/>
                <w:lang w:val="en-US" w:eastAsia="zh-CN" w:bidi="ar"/>
              </w:rPr>
            </w:pPr>
            <w:r>
              <w:rPr>
                <w:rStyle w:val="135"/>
                <w:rFonts w:hint="default" w:ascii="Times New Roman" w:hAnsi="Times New Roman" w:eastAsia="宋体" w:cs="宋体"/>
                <w:bCs w:val="0"/>
                <w:caps w:val="0"/>
                <w:spacing w:val="0"/>
                <w:sz w:val="21"/>
                <w:szCs w:val="21"/>
                <w:highlight w:val="none"/>
                <w:lang w:val="en-US" w:eastAsia="zh-CN" w:bidi="ar"/>
              </w:rPr>
              <w:t>圆筛机</w:t>
            </w:r>
          </w:p>
        </w:tc>
        <w:tc>
          <w:tcPr>
            <w:tcW w:w="318" w:type="pct"/>
            <w:tcBorders>
              <w:tl2br w:val="nil"/>
              <w:tr2bl w:val="nil"/>
            </w:tcBorders>
            <w:noWrap w:val="0"/>
            <w:vAlign w:val="center"/>
          </w:tcPr>
          <w:p w14:paraId="63FDA9F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spacing w:val="0"/>
                <w:sz w:val="21"/>
                <w:szCs w:val="21"/>
                <w:highlight w:val="none"/>
                <w:lang w:val="en-US" w:eastAsia="zh-CN"/>
              </w:rPr>
              <w:t>/</w:t>
            </w:r>
          </w:p>
        </w:tc>
        <w:tc>
          <w:tcPr>
            <w:tcW w:w="268" w:type="pct"/>
            <w:tcBorders>
              <w:tl2br w:val="nil"/>
              <w:tr2bl w:val="nil"/>
            </w:tcBorders>
            <w:noWrap w:val="0"/>
            <w:vAlign w:val="center"/>
          </w:tcPr>
          <w:p w14:paraId="737710D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75</w:t>
            </w:r>
          </w:p>
        </w:tc>
        <w:tc>
          <w:tcPr>
            <w:tcW w:w="248" w:type="pct"/>
            <w:vMerge w:val="continue"/>
            <w:tcBorders>
              <w:tl2br w:val="nil"/>
              <w:tr2bl w:val="nil"/>
            </w:tcBorders>
            <w:noWrap w:val="0"/>
            <w:vAlign w:val="center"/>
          </w:tcPr>
          <w:p w14:paraId="586B33F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197" w:type="pct"/>
            <w:tcBorders>
              <w:tl2br w:val="nil"/>
              <w:tr2bl w:val="nil"/>
            </w:tcBorders>
            <w:noWrap w:val="0"/>
            <w:vAlign w:val="center"/>
          </w:tcPr>
          <w:p w14:paraId="66C64E0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-35</w:t>
            </w:r>
          </w:p>
        </w:tc>
        <w:tc>
          <w:tcPr>
            <w:tcW w:w="197" w:type="pct"/>
            <w:tcBorders>
              <w:tl2br w:val="nil"/>
              <w:tr2bl w:val="nil"/>
            </w:tcBorders>
            <w:noWrap w:val="0"/>
            <w:vAlign w:val="center"/>
          </w:tcPr>
          <w:p w14:paraId="0631A59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-14</w:t>
            </w:r>
          </w:p>
        </w:tc>
        <w:tc>
          <w:tcPr>
            <w:tcW w:w="197" w:type="pct"/>
            <w:tcBorders>
              <w:tl2br w:val="nil"/>
              <w:tr2bl w:val="nil"/>
            </w:tcBorders>
            <w:noWrap w:val="0"/>
            <w:vAlign w:val="center"/>
          </w:tcPr>
          <w:p w14:paraId="47D1503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w:t>
            </w:r>
          </w:p>
        </w:tc>
        <w:tc>
          <w:tcPr>
            <w:tcW w:w="180" w:type="pct"/>
            <w:tcBorders>
              <w:tl2br w:val="nil"/>
              <w:tr2bl w:val="nil"/>
            </w:tcBorders>
            <w:noWrap w:val="0"/>
            <w:vAlign w:val="center"/>
          </w:tcPr>
          <w:p w14:paraId="7695AEF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14</w:t>
            </w:r>
          </w:p>
        </w:tc>
        <w:tc>
          <w:tcPr>
            <w:tcW w:w="180" w:type="pct"/>
            <w:tcBorders>
              <w:tl2br w:val="nil"/>
              <w:tr2bl w:val="nil"/>
            </w:tcBorders>
            <w:noWrap w:val="0"/>
            <w:vAlign w:val="center"/>
          </w:tcPr>
          <w:p w14:paraId="3329D83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28</w:t>
            </w:r>
          </w:p>
        </w:tc>
        <w:tc>
          <w:tcPr>
            <w:tcW w:w="180" w:type="pct"/>
            <w:tcBorders>
              <w:tl2br w:val="nil"/>
              <w:tr2bl w:val="nil"/>
            </w:tcBorders>
            <w:noWrap w:val="0"/>
            <w:vAlign w:val="center"/>
          </w:tcPr>
          <w:p w14:paraId="415ECE9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16</w:t>
            </w:r>
          </w:p>
        </w:tc>
        <w:tc>
          <w:tcPr>
            <w:tcW w:w="184" w:type="pct"/>
            <w:tcBorders>
              <w:tl2br w:val="nil"/>
              <w:tr2bl w:val="nil"/>
            </w:tcBorders>
            <w:noWrap w:val="0"/>
            <w:vAlign w:val="center"/>
          </w:tcPr>
          <w:p w14:paraId="79138D0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22</w:t>
            </w:r>
          </w:p>
        </w:tc>
        <w:tc>
          <w:tcPr>
            <w:tcW w:w="227" w:type="pct"/>
            <w:tcBorders>
              <w:tl2br w:val="nil"/>
              <w:tr2bl w:val="nil"/>
            </w:tcBorders>
            <w:noWrap w:val="0"/>
            <w:vAlign w:val="center"/>
          </w:tcPr>
          <w:p w14:paraId="581C36E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52.1</w:t>
            </w:r>
          </w:p>
        </w:tc>
        <w:tc>
          <w:tcPr>
            <w:tcW w:w="227" w:type="pct"/>
            <w:tcBorders>
              <w:tl2br w:val="nil"/>
              <w:tr2bl w:val="nil"/>
            </w:tcBorders>
            <w:noWrap w:val="0"/>
            <w:vAlign w:val="center"/>
          </w:tcPr>
          <w:p w14:paraId="201CBB4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46.1</w:t>
            </w:r>
          </w:p>
        </w:tc>
        <w:tc>
          <w:tcPr>
            <w:tcW w:w="227" w:type="pct"/>
            <w:tcBorders>
              <w:tl2br w:val="nil"/>
              <w:tr2bl w:val="nil"/>
            </w:tcBorders>
            <w:noWrap w:val="0"/>
            <w:vAlign w:val="center"/>
          </w:tcPr>
          <w:p w14:paraId="0666D5D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50.9</w:t>
            </w:r>
          </w:p>
        </w:tc>
        <w:tc>
          <w:tcPr>
            <w:tcW w:w="230" w:type="pct"/>
            <w:tcBorders>
              <w:tl2br w:val="nil"/>
              <w:tr2bl w:val="nil"/>
            </w:tcBorders>
            <w:noWrap w:val="0"/>
            <w:vAlign w:val="center"/>
          </w:tcPr>
          <w:p w14:paraId="365453B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48.2</w:t>
            </w:r>
          </w:p>
        </w:tc>
        <w:tc>
          <w:tcPr>
            <w:tcW w:w="188" w:type="pct"/>
            <w:vMerge w:val="continue"/>
            <w:tcBorders>
              <w:tl2br w:val="nil"/>
              <w:tr2bl w:val="nil"/>
            </w:tcBorders>
            <w:noWrap w:val="0"/>
            <w:vAlign w:val="center"/>
          </w:tcPr>
          <w:p w14:paraId="51975B4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10" w:type="pct"/>
            <w:tcBorders>
              <w:tl2br w:val="nil"/>
              <w:tr2bl w:val="nil"/>
            </w:tcBorders>
            <w:noWrap w:val="0"/>
            <w:vAlign w:val="center"/>
          </w:tcPr>
          <w:p w14:paraId="5D90A57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w:t>
            </w:r>
          </w:p>
        </w:tc>
        <w:tc>
          <w:tcPr>
            <w:tcW w:w="171" w:type="pct"/>
            <w:tcBorders>
              <w:tl2br w:val="nil"/>
              <w:tr2bl w:val="nil"/>
            </w:tcBorders>
            <w:noWrap w:val="0"/>
            <w:vAlign w:val="center"/>
          </w:tcPr>
          <w:p w14:paraId="1CCF2DD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32.1</w:t>
            </w:r>
          </w:p>
        </w:tc>
        <w:tc>
          <w:tcPr>
            <w:tcW w:w="187" w:type="pct"/>
            <w:tcBorders>
              <w:tl2br w:val="nil"/>
              <w:tr2bl w:val="nil"/>
            </w:tcBorders>
            <w:noWrap w:val="0"/>
            <w:vAlign w:val="center"/>
          </w:tcPr>
          <w:p w14:paraId="3DA8482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26.1</w:t>
            </w:r>
          </w:p>
        </w:tc>
        <w:tc>
          <w:tcPr>
            <w:tcW w:w="152" w:type="pct"/>
            <w:tcBorders>
              <w:tl2br w:val="nil"/>
              <w:tr2bl w:val="nil"/>
            </w:tcBorders>
            <w:noWrap w:val="0"/>
            <w:vAlign w:val="center"/>
          </w:tcPr>
          <w:p w14:paraId="254B4D4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30.9</w:t>
            </w:r>
          </w:p>
        </w:tc>
        <w:tc>
          <w:tcPr>
            <w:tcW w:w="178" w:type="pct"/>
            <w:tcBorders>
              <w:tl2br w:val="nil"/>
              <w:tr2bl w:val="nil"/>
            </w:tcBorders>
            <w:noWrap w:val="0"/>
            <w:vAlign w:val="center"/>
          </w:tcPr>
          <w:p w14:paraId="0D1316B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28.2</w:t>
            </w:r>
          </w:p>
        </w:tc>
        <w:tc>
          <w:tcPr>
            <w:tcW w:w="146" w:type="pct"/>
            <w:tcBorders>
              <w:tl2br w:val="nil"/>
              <w:tr2bl w:val="nil"/>
            </w:tcBorders>
            <w:noWrap w:val="0"/>
            <w:vAlign w:val="center"/>
          </w:tcPr>
          <w:p w14:paraId="4C2274F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w:t>
            </w:r>
          </w:p>
        </w:tc>
      </w:tr>
      <w:tr w14:paraId="09C461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8" w:type="pct"/>
            <w:tcBorders>
              <w:tl2br w:val="nil"/>
              <w:tr2bl w:val="nil"/>
            </w:tcBorders>
            <w:noWrap w:val="0"/>
            <w:vAlign w:val="center"/>
          </w:tcPr>
          <w:p w14:paraId="30CD20F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10</w:t>
            </w:r>
          </w:p>
        </w:tc>
        <w:tc>
          <w:tcPr>
            <w:tcW w:w="271" w:type="pct"/>
            <w:vMerge w:val="continue"/>
            <w:tcBorders>
              <w:tl2br w:val="nil"/>
              <w:tr2bl w:val="nil"/>
            </w:tcBorders>
            <w:noWrap w:val="0"/>
            <w:vAlign w:val="center"/>
          </w:tcPr>
          <w:p w14:paraId="790135A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p>
        </w:tc>
        <w:tc>
          <w:tcPr>
            <w:tcW w:w="238" w:type="pct"/>
            <w:tcBorders>
              <w:tl2br w:val="nil"/>
              <w:tr2bl w:val="nil"/>
            </w:tcBorders>
            <w:noWrap w:val="0"/>
            <w:vAlign w:val="center"/>
          </w:tcPr>
          <w:p w14:paraId="7076AA7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default" w:ascii="Times New Roman" w:hAnsi="Times New Roman" w:eastAsia="宋体" w:cs="宋体"/>
                <w:bCs w:val="0"/>
                <w:caps w:val="0"/>
                <w:spacing w:val="0"/>
                <w:sz w:val="21"/>
                <w:szCs w:val="21"/>
                <w:highlight w:val="none"/>
                <w:lang w:val="en-US" w:eastAsia="zh-CN" w:bidi="ar"/>
              </w:rPr>
            </w:pPr>
            <w:r>
              <w:rPr>
                <w:rStyle w:val="135"/>
                <w:rFonts w:hint="eastAsia" w:ascii="Times New Roman" w:hAnsi="Times New Roman" w:eastAsia="宋体" w:cs="宋体"/>
                <w:bCs w:val="0"/>
                <w:caps w:val="0"/>
                <w:spacing w:val="0"/>
                <w:sz w:val="21"/>
                <w:szCs w:val="21"/>
                <w:highlight w:val="none"/>
                <w:lang w:val="en-US" w:eastAsia="zh-CN" w:bidi="ar"/>
              </w:rPr>
              <w:t>风机</w:t>
            </w:r>
          </w:p>
        </w:tc>
        <w:tc>
          <w:tcPr>
            <w:tcW w:w="318" w:type="pct"/>
            <w:tcBorders>
              <w:tl2br w:val="nil"/>
              <w:tr2bl w:val="nil"/>
            </w:tcBorders>
            <w:noWrap w:val="0"/>
            <w:vAlign w:val="center"/>
          </w:tcPr>
          <w:p w14:paraId="4249703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eastAsia"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spacing w:val="0"/>
                <w:sz w:val="21"/>
                <w:szCs w:val="21"/>
                <w:highlight w:val="none"/>
                <w:lang w:val="en-US" w:eastAsia="zh-CN"/>
              </w:rPr>
              <w:t>/</w:t>
            </w:r>
          </w:p>
        </w:tc>
        <w:tc>
          <w:tcPr>
            <w:tcW w:w="268" w:type="pct"/>
            <w:tcBorders>
              <w:tl2br w:val="nil"/>
              <w:tr2bl w:val="nil"/>
            </w:tcBorders>
            <w:noWrap w:val="0"/>
            <w:vAlign w:val="center"/>
          </w:tcPr>
          <w:p w14:paraId="6E8DC68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70</w:t>
            </w:r>
          </w:p>
        </w:tc>
        <w:tc>
          <w:tcPr>
            <w:tcW w:w="248" w:type="pct"/>
            <w:vMerge w:val="continue"/>
            <w:tcBorders>
              <w:tl2br w:val="nil"/>
              <w:tr2bl w:val="nil"/>
            </w:tcBorders>
            <w:noWrap w:val="0"/>
            <w:vAlign w:val="center"/>
          </w:tcPr>
          <w:p w14:paraId="3BBB184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197" w:type="pct"/>
            <w:tcBorders>
              <w:tl2br w:val="nil"/>
              <w:tr2bl w:val="nil"/>
            </w:tcBorders>
            <w:noWrap w:val="0"/>
            <w:vAlign w:val="center"/>
          </w:tcPr>
          <w:p w14:paraId="5D28FD3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-32</w:t>
            </w:r>
          </w:p>
        </w:tc>
        <w:tc>
          <w:tcPr>
            <w:tcW w:w="197" w:type="pct"/>
            <w:tcBorders>
              <w:tl2br w:val="nil"/>
              <w:tr2bl w:val="nil"/>
            </w:tcBorders>
            <w:noWrap w:val="0"/>
            <w:vAlign w:val="center"/>
          </w:tcPr>
          <w:p w14:paraId="20E999A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-22</w:t>
            </w:r>
          </w:p>
        </w:tc>
        <w:tc>
          <w:tcPr>
            <w:tcW w:w="197" w:type="pct"/>
            <w:tcBorders>
              <w:tl2br w:val="nil"/>
              <w:tr2bl w:val="nil"/>
            </w:tcBorders>
            <w:noWrap w:val="0"/>
            <w:vAlign w:val="center"/>
          </w:tcPr>
          <w:p w14:paraId="18E5AB2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w:t>
            </w:r>
          </w:p>
        </w:tc>
        <w:tc>
          <w:tcPr>
            <w:tcW w:w="180" w:type="pct"/>
            <w:tcBorders>
              <w:tl2br w:val="nil"/>
              <w:tr2bl w:val="nil"/>
            </w:tcBorders>
            <w:noWrap w:val="0"/>
            <w:vAlign w:val="center"/>
          </w:tcPr>
          <w:p w14:paraId="2C5EBEB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17</w:t>
            </w:r>
          </w:p>
        </w:tc>
        <w:tc>
          <w:tcPr>
            <w:tcW w:w="180" w:type="pct"/>
            <w:tcBorders>
              <w:tl2br w:val="nil"/>
              <w:tr2bl w:val="nil"/>
            </w:tcBorders>
            <w:noWrap w:val="0"/>
            <w:vAlign w:val="center"/>
          </w:tcPr>
          <w:p w14:paraId="62E263F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20</w:t>
            </w:r>
          </w:p>
        </w:tc>
        <w:tc>
          <w:tcPr>
            <w:tcW w:w="180" w:type="pct"/>
            <w:tcBorders>
              <w:tl2br w:val="nil"/>
              <w:tr2bl w:val="nil"/>
            </w:tcBorders>
            <w:noWrap w:val="0"/>
            <w:vAlign w:val="center"/>
          </w:tcPr>
          <w:p w14:paraId="2B2A91E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13</w:t>
            </w:r>
          </w:p>
        </w:tc>
        <w:tc>
          <w:tcPr>
            <w:tcW w:w="184" w:type="pct"/>
            <w:tcBorders>
              <w:tl2br w:val="nil"/>
              <w:tr2bl w:val="nil"/>
            </w:tcBorders>
            <w:noWrap w:val="0"/>
            <w:vAlign w:val="center"/>
          </w:tcPr>
          <w:p w14:paraId="25E6239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40</w:t>
            </w:r>
          </w:p>
        </w:tc>
        <w:tc>
          <w:tcPr>
            <w:tcW w:w="227" w:type="pct"/>
            <w:tcBorders>
              <w:tl2br w:val="nil"/>
              <w:tr2bl w:val="nil"/>
            </w:tcBorders>
            <w:noWrap w:val="0"/>
            <w:vAlign w:val="center"/>
          </w:tcPr>
          <w:p w14:paraId="1B95F1A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45.4</w:t>
            </w:r>
          </w:p>
        </w:tc>
        <w:tc>
          <w:tcPr>
            <w:tcW w:w="227" w:type="pct"/>
            <w:tcBorders>
              <w:tl2br w:val="nil"/>
              <w:tr2bl w:val="nil"/>
            </w:tcBorders>
            <w:noWrap w:val="0"/>
            <w:vAlign w:val="center"/>
          </w:tcPr>
          <w:p w14:paraId="2EFD2D8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44.0</w:t>
            </w:r>
          </w:p>
        </w:tc>
        <w:tc>
          <w:tcPr>
            <w:tcW w:w="227" w:type="pct"/>
            <w:tcBorders>
              <w:tl2br w:val="nil"/>
              <w:tr2bl w:val="nil"/>
            </w:tcBorders>
            <w:noWrap w:val="0"/>
            <w:vAlign w:val="center"/>
          </w:tcPr>
          <w:p w14:paraId="1D4AD05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47.7</w:t>
            </w:r>
          </w:p>
        </w:tc>
        <w:tc>
          <w:tcPr>
            <w:tcW w:w="230" w:type="pct"/>
            <w:tcBorders>
              <w:tl2br w:val="nil"/>
              <w:tr2bl w:val="nil"/>
            </w:tcBorders>
            <w:noWrap w:val="0"/>
            <w:vAlign w:val="center"/>
          </w:tcPr>
          <w:p w14:paraId="4EF44BF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38.0</w:t>
            </w:r>
          </w:p>
        </w:tc>
        <w:tc>
          <w:tcPr>
            <w:tcW w:w="188" w:type="pct"/>
            <w:vMerge w:val="continue"/>
            <w:tcBorders>
              <w:tl2br w:val="nil"/>
              <w:tr2bl w:val="nil"/>
            </w:tcBorders>
            <w:noWrap w:val="0"/>
            <w:vAlign w:val="center"/>
          </w:tcPr>
          <w:p w14:paraId="4E48BC8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rPr>
            </w:pPr>
          </w:p>
        </w:tc>
        <w:tc>
          <w:tcPr>
            <w:tcW w:w="210" w:type="pct"/>
            <w:tcBorders>
              <w:tl2br w:val="nil"/>
              <w:tr2bl w:val="nil"/>
            </w:tcBorders>
            <w:noWrap w:val="0"/>
            <w:vAlign w:val="center"/>
          </w:tcPr>
          <w:p w14:paraId="1E5E07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20</w:t>
            </w:r>
          </w:p>
        </w:tc>
        <w:tc>
          <w:tcPr>
            <w:tcW w:w="171" w:type="pct"/>
            <w:tcBorders>
              <w:tl2br w:val="nil"/>
              <w:tr2bl w:val="nil"/>
            </w:tcBorders>
            <w:noWrap w:val="0"/>
            <w:vAlign w:val="center"/>
          </w:tcPr>
          <w:p w14:paraId="025C5C5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25.4</w:t>
            </w:r>
          </w:p>
        </w:tc>
        <w:tc>
          <w:tcPr>
            <w:tcW w:w="187" w:type="pct"/>
            <w:tcBorders>
              <w:tl2br w:val="nil"/>
              <w:tr2bl w:val="nil"/>
            </w:tcBorders>
            <w:noWrap w:val="0"/>
            <w:vAlign w:val="center"/>
          </w:tcPr>
          <w:p w14:paraId="0730D6B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24.0</w:t>
            </w:r>
          </w:p>
        </w:tc>
        <w:tc>
          <w:tcPr>
            <w:tcW w:w="152" w:type="pct"/>
            <w:tcBorders>
              <w:tl2br w:val="nil"/>
              <w:tr2bl w:val="nil"/>
            </w:tcBorders>
            <w:noWrap w:val="0"/>
            <w:vAlign w:val="center"/>
          </w:tcPr>
          <w:p w14:paraId="21F53CC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27.7</w:t>
            </w:r>
          </w:p>
        </w:tc>
        <w:tc>
          <w:tcPr>
            <w:tcW w:w="178" w:type="pct"/>
            <w:tcBorders>
              <w:tl2br w:val="nil"/>
              <w:tr2bl w:val="nil"/>
            </w:tcBorders>
            <w:noWrap w:val="0"/>
            <w:vAlign w:val="center"/>
          </w:tcPr>
          <w:p w14:paraId="25DF6DD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宋体"/>
                <w:bCs/>
                <w:caps w:val="0"/>
                <w:color w:val="auto"/>
                <w:spacing w:val="0"/>
                <w:kern w:val="0"/>
                <w:sz w:val="21"/>
                <w:szCs w:val="21"/>
                <w:highlight w:val="none"/>
                <w:lang w:val="en-US" w:eastAsia="zh-CN" w:bidi="zh-CN"/>
              </w:rPr>
            </w:pPr>
            <w:r>
              <w:rPr>
                <w:rFonts w:hint="eastAsia" w:ascii="Times New Roman" w:hAnsi="Times New Roman" w:eastAsia="宋体" w:cs="宋体"/>
                <w:bCs/>
                <w:caps w:val="0"/>
                <w:color w:val="auto"/>
                <w:spacing w:val="0"/>
                <w:kern w:val="0"/>
                <w:sz w:val="21"/>
                <w:szCs w:val="21"/>
                <w:highlight w:val="none"/>
                <w:lang w:val="en-US" w:eastAsia="zh-CN" w:bidi="zh-CN"/>
              </w:rPr>
              <w:t>18.0</w:t>
            </w:r>
          </w:p>
        </w:tc>
        <w:tc>
          <w:tcPr>
            <w:tcW w:w="146" w:type="pct"/>
            <w:tcBorders>
              <w:tl2br w:val="nil"/>
              <w:tr2bl w:val="nil"/>
            </w:tcBorders>
            <w:noWrap w:val="0"/>
            <w:vAlign w:val="center"/>
          </w:tcPr>
          <w:p w14:paraId="0FDC9F5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1</w:t>
            </w:r>
          </w:p>
        </w:tc>
      </w:tr>
      <w:tr w14:paraId="53ED74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3" w:type="pct"/>
            <w:gridSpan w:val="23"/>
            <w:tcBorders>
              <w:tl2br w:val="nil"/>
              <w:tr2bl w:val="nil"/>
            </w:tcBorders>
            <w:noWrap w:val="0"/>
            <w:vAlign w:val="center"/>
          </w:tcPr>
          <w:p w14:paraId="60D749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宋体"/>
                <w:caps w:val="0"/>
                <w:spacing w:val="0"/>
                <w:sz w:val="21"/>
                <w:szCs w:val="21"/>
                <w:highlight w:val="none"/>
                <w:vertAlign w:val="baseline"/>
                <w:lang w:val="en-US" w:eastAsia="zh-CN"/>
              </w:rPr>
            </w:pPr>
            <w:r>
              <w:rPr>
                <w:rFonts w:hint="eastAsia" w:ascii="Times New Roman" w:hAnsi="Times New Roman" w:eastAsia="宋体" w:cs="宋体"/>
                <w:caps w:val="0"/>
                <w:spacing w:val="0"/>
                <w:sz w:val="21"/>
                <w:szCs w:val="21"/>
                <w:highlight w:val="none"/>
                <w:vertAlign w:val="baseline"/>
                <w:lang w:val="en-US" w:eastAsia="zh-CN"/>
              </w:rPr>
              <w:t>以厂区中心位置为坐标远点126.552785°45.705418°，东西向为X南北向为Y，高度为Z</w:t>
            </w:r>
          </w:p>
        </w:tc>
        <w:tc>
          <w:tcPr>
            <w:tcW w:w="146" w:type="pct"/>
            <w:tcBorders>
              <w:tl2br w:val="nil"/>
              <w:tr2bl w:val="nil"/>
            </w:tcBorders>
            <w:noWrap w:val="0"/>
            <w:vAlign w:val="center"/>
          </w:tcPr>
          <w:p w14:paraId="09FE34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宋体"/>
                <w:caps w:val="0"/>
                <w:spacing w:val="0"/>
                <w:sz w:val="21"/>
                <w:szCs w:val="21"/>
                <w:highlight w:val="none"/>
                <w:vertAlign w:val="baseline"/>
                <w:lang w:val="en-US" w:eastAsia="zh-CN"/>
              </w:rPr>
            </w:pPr>
          </w:p>
        </w:tc>
      </w:tr>
    </w:tbl>
    <w:p w14:paraId="58A54BF7">
      <w:pPr>
        <w:pStyle w:val="42"/>
        <w:rPr>
          <w:rFonts w:hint="eastAsia" w:ascii="Times New Roman" w:hAnsi="Times New Roman" w:eastAsia="宋体" w:cs="宋体"/>
          <w:caps w:val="0"/>
          <w:highlight w:val="none"/>
          <w:lang w:eastAsia="zh-CN"/>
        </w:rPr>
        <w:sectPr>
          <w:pgSz w:w="16840" w:h="11907"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8090"/>
      </w:tblGrid>
      <w:tr w14:paraId="59977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42" w:hRule="atLeast"/>
          <w:jc w:val="center"/>
        </w:trPr>
        <w:tc>
          <w:tcPr>
            <w:tcW w:w="427" w:type="dxa"/>
            <w:noWrap w:val="0"/>
            <w:vAlign w:val="top"/>
          </w:tcPr>
          <w:p w14:paraId="661FADE8">
            <w:pPr>
              <w:pStyle w:val="5"/>
              <w:rPr>
                <w:rFonts w:hint="eastAsia" w:ascii="Times New Roman" w:hAnsi="Times New Roman" w:eastAsia="宋体" w:cs="宋体"/>
                <w:caps w:val="0"/>
                <w:spacing w:val="0"/>
                <w:highlight w:val="none"/>
                <w:vertAlign w:val="baseline"/>
              </w:rPr>
            </w:pPr>
          </w:p>
        </w:tc>
        <w:tc>
          <w:tcPr>
            <w:tcW w:w="8090" w:type="dxa"/>
            <w:noWrap w:val="0"/>
            <w:vAlign w:val="top"/>
          </w:tcPr>
          <w:p w14:paraId="061F428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Times New Roman" w:hAnsi="Times New Roman" w:eastAsia="宋体" w:cs="宋体"/>
                <w:b/>
                <w:bCs w:val="0"/>
                <w:caps w:val="0"/>
                <w:spacing w:val="0"/>
                <w:sz w:val="24"/>
                <w:szCs w:val="24"/>
                <w:highlight w:val="none"/>
              </w:rPr>
            </w:pPr>
            <w:r>
              <w:rPr>
                <w:rFonts w:hint="eastAsia" w:ascii="Times New Roman" w:hAnsi="Times New Roman" w:eastAsia="宋体" w:cs="宋体"/>
                <w:b/>
                <w:bCs w:val="0"/>
                <w:caps w:val="0"/>
                <w:spacing w:val="0"/>
                <w:sz w:val="24"/>
                <w:szCs w:val="24"/>
                <w:highlight w:val="none"/>
              </w:rPr>
              <w:t>3</w:t>
            </w:r>
            <w:r>
              <w:rPr>
                <w:rFonts w:hint="eastAsia" w:ascii="Times New Roman" w:hAnsi="Times New Roman" w:eastAsia="宋体" w:cs="宋体"/>
                <w:b/>
                <w:bCs w:val="0"/>
                <w:caps w:val="0"/>
                <w:spacing w:val="0"/>
                <w:sz w:val="24"/>
                <w:szCs w:val="24"/>
                <w:highlight w:val="none"/>
                <w:lang w:eastAsia="zh-CN"/>
              </w:rPr>
              <w:t>.</w:t>
            </w:r>
            <w:r>
              <w:rPr>
                <w:rFonts w:hint="eastAsia" w:ascii="Times New Roman" w:hAnsi="Times New Roman" w:eastAsia="宋体" w:cs="宋体"/>
                <w:b/>
                <w:bCs w:val="0"/>
                <w:caps w:val="0"/>
                <w:spacing w:val="0"/>
                <w:sz w:val="24"/>
                <w:szCs w:val="24"/>
                <w:highlight w:val="none"/>
              </w:rPr>
              <w:t>3 噪声预测结果</w:t>
            </w:r>
          </w:p>
          <w:p w14:paraId="4612962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本项目所在区域周边50m范围内无声环境敏感目标，本次评价至项目厂</w:t>
            </w:r>
            <w:r>
              <w:rPr>
                <w:rFonts w:hint="eastAsia" w:ascii="Times New Roman" w:hAnsi="Times New Roman" w:eastAsia="宋体" w:cs="宋体"/>
                <w:caps w:val="0"/>
                <w:spacing w:val="0"/>
                <w:sz w:val="24"/>
                <w:szCs w:val="24"/>
                <w:highlight w:val="none"/>
                <w:lang w:val="en-US" w:eastAsia="zh-CN"/>
              </w:rPr>
              <w:t>房</w:t>
            </w:r>
            <w:r>
              <w:rPr>
                <w:rFonts w:hint="eastAsia" w:ascii="Times New Roman" w:hAnsi="Times New Roman" w:eastAsia="宋体" w:cs="宋体"/>
                <w:caps w:val="0"/>
                <w:spacing w:val="0"/>
                <w:sz w:val="24"/>
                <w:szCs w:val="24"/>
                <w:highlight w:val="none"/>
              </w:rPr>
              <w:t>外1m，进行厂界达标论证。采用上述预测方法，拟建项目主要噪声源对厂界噪声贡献值预测计算结果汇总见下表。</w:t>
            </w:r>
          </w:p>
          <w:p w14:paraId="2B679B74">
            <w:pPr>
              <w:pStyle w:val="5"/>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t>表4-</w:t>
            </w:r>
            <w:r>
              <w:rPr>
                <w:rFonts w:hint="eastAsia" w:cs="宋体"/>
                <w:b/>
                <w:bCs/>
                <w:caps w:val="0"/>
                <w:color w:val="000000" w:themeColor="text1"/>
                <w:spacing w:val="0"/>
                <w:sz w:val="21"/>
                <w:szCs w:val="21"/>
                <w:highlight w:val="none"/>
                <w:lang w:val="en-US" w:eastAsia="zh-CN"/>
                <w14:textFill>
                  <w14:solidFill>
                    <w14:schemeClr w14:val="tx1"/>
                  </w14:solidFill>
                </w14:textFill>
              </w:rPr>
              <w:t>10</w:t>
            </w:r>
            <w:r>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t xml:space="preserve"> 噪声预测结果统计表 单位dB(A)</w:t>
            </w:r>
          </w:p>
          <w:tbl>
            <w:tblPr>
              <w:tblStyle w:val="35"/>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8"/>
              <w:gridCol w:w="2279"/>
              <w:gridCol w:w="1435"/>
              <w:gridCol w:w="1236"/>
              <w:gridCol w:w="1484"/>
            </w:tblGrid>
            <w:tr w14:paraId="08967A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restart"/>
                  <w:tcBorders>
                    <w:tl2br w:val="nil"/>
                    <w:tr2bl w:val="nil"/>
                  </w:tcBorders>
                  <w:noWrap w:val="0"/>
                  <w:vAlign w:val="center"/>
                </w:tcPr>
                <w:p w14:paraId="50C476F9">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t>厂界方位</w:t>
                  </w:r>
                </w:p>
              </w:tc>
              <w:tc>
                <w:tcPr>
                  <w:tcW w:w="1447" w:type="pct"/>
                  <w:vMerge w:val="restart"/>
                  <w:tcBorders>
                    <w:tl2br w:val="nil"/>
                    <w:tr2bl w:val="nil"/>
                  </w:tcBorders>
                  <w:noWrap w:val="0"/>
                  <w:vAlign w:val="center"/>
                </w:tcPr>
                <w:p w14:paraId="3AD93547">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t>噪声贡献值</w:t>
                  </w:r>
                </w:p>
              </w:tc>
              <w:tc>
                <w:tcPr>
                  <w:tcW w:w="1696" w:type="pct"/>
                  <w:gridSpan w:val="2"/>
                  <w:tcBorders>
                    <w:tl2br w:val="nil"/>
                    <w:tr2bl w:val="nil"/>
                  </w:tcBorders>
                  <w:noWrap w:val="0"/>
                  <w:vAlign w:val="center"/>
                </w:tcPr>
                <w:p w14:paraId="41B7B1FD">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t>噪声限值</w:t>
                  </w:r>
                </w:p>
              </w:tc>
              <w:tc>
                <w:tcPr>
                  <w:tcW w:w="942" w:type="pct"/>
                  <w:vMerge w:val="restart"/>
                  <w:tcBorders>
                    <w:tl2br w:val="nil"/>
                    <w:tr2bl w:val="nil"/>
                  </w:tcBorders>
                  <w:noWrap w:val="0"/>
                  <w:vAlign w:val="center"/>
                </w:tcPr>
                <w:p w14:paraId="346A2E45">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t>达标情况</w:t>
                  </w:r>
                </w:p>
              </w:tc>
            </w:tr>
            <w:tr w14:paraId="55E04E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tcBorders>
                    <w:tl2br w:val="nil"/>
                    <w:tr2bl w:val="nil"/>
                  </w:tcBorders>
                  <w:noWrap w:val="0"/>
                  <w:vAlign w:val="center"/>
                </w:tcPr>
                <w:p w14:paraId="3E386BF6">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p>
              </w:tc>
              <w:tc>
                <w:tcPr>
                  <w:tcW w:w="1447" w:type="pct"/>
                  <w:vMerge w:val="continue"/>
                  <w:tcBorders>
                    <w:tl2br w:val="nil"/>
                    <w:tr2bl w:val="nil"/>
                  </w:tcBorders>
                  <w:noWrap w:val="0"/>
                  <w:vAlign w:val="center"/>
                </w:tcPr>
                <w:p w14:paraId="0BCF317F">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p>
              </w:tc>
              <w:tc>
                <w:tcPr>
                  <w:tcW w:w="911" w:type="pct"/>
                  <w:tcBorders>
                    <w:tl2br w:val="nil"/>
                    <w:tr2bl w:val="nil"/>
                  </w:tcBorders>
                  <w:noWrap w:val="0"/>
                  <w:vAlign w:val="center"/>
                </w:tcPr>
                <w:p w14:paraId="3E229CAD">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t>昼间</w:t>
                  </w:r>
                </w:p>
              </w:tc>
              <w:tc>
                <w:tcPr>
                  <w:tcW w:w="785" w:type="pct"/>
                  <w:tcBorders>
                    <w:tl2br w:val="nil"/>
                    <w:tr2bl w:val="nil"/>
                  </w:tcBorders>
                  <w:noWrap w:val="0"/>
                  <w:vAlign w:val="center"/>
                </w:tcPr>
                <w:p w14:paraId="617FC13A">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pacing w:val="0"/>
                      <w:sz w:val="21"/>
                      <w:szCs w:val="21"/>
                      <w:highlight w:val="none"/>
                      <w14:textFill>
                        <w14:solidFill>
                          <w14:schemeClr w14:val="tx1"/>
                        </w14:solidFill>
                      </w14:textFill>
                    </w:rPr>
                    <w:t>夜间</w:t>
                  </w:r>
                </w:p>
              </w:tc>
              <w:tc>
                <w:tcPr>
                  <w:tcW w:w="942" w:type="pct"/>
                  <w:vMerge w:val="continue"/>
                  <w:tcBorders>
                    <w:tl2br w:val="nil"/>
                    <w:tr2bl w:val="nil"/>
                  </w:tcBorders>
                  <w:noWrap w:val="0"/>
                  <w:vAlign w:val="center"/>
                </w:tcPr>
                <w:p w14:paraId="5429DB79">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p>
              </w:tc>
            </w:tr>
            <w:tr w14:paraId="3D9330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tcBorders>
                    <w:tl2br w:val="nil"/>
                    <w:tr2bl w:val="nil"/>
                  </w:tcBorders>
                  <w:noWrap w:val="0"/>
                  <w:vAlign w:val="center"/>
                </w:tcPr>
                <w:p w14:paraId="42565930">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t>东侧厂界</w:t>
                  </w:r>
                </w:p>
              </w:tc>
              <w:tc>
                <w:tcPr>
                  <w:tcW w:w="2349" w:type="dxa"/>
                  <w:tcBorders>
                    <w:tl2br w:val="nil"/>
                    <w:tr2bl w:val="nil"/>
                  </w:tcBorders>
                  <w:noWrap w:val="0"/>
                  <w:vAlign w:val="center"/>
                </w:tcPr>
                <w:p w14:paraId="0F852092">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t>46.4</w:t>
                  </w:r>
                </w:p>
              </w:tc>
              <w:tc>
                <w:tcPr>
                  <w:tcW w:w="911" w:type="pct"/>
                  <w:vMerge w:val="restart"/>
                  <w:tcBorders>
                    <w:tl2br w:val="nil"/>
                    <w:tr2bl w:val="nil"/>
                  </w:tcBorders>
                  <w:noWrap w:val="0"/>
                  <w:vAlign w:val="center"/>
                </w:tcPr>
                <w:p w14:paraId="37AB0752">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t>60</w:t>
                  </w:r>
                </w:p>
              </w:tc>
              <w:tc>
                <w:tcPr>
                  <w:tcW w:w="785" w:type="pct"/>
                  <w:vMerge w:val="restart"/>
                  <w:tcBorders>
                    <w:tl2br w:val="nil"/>
                    <w:tr2bl w:val="nil"/>
                  </w:tcBorders>
                  <w:noWrap w:val="0"/>
                  <w:vAlign w:val="center"/>
                </w:tcPr>
                <w:p w14:paraId="400DD45B">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t>50</w:t>
                  </w:r>
                </w:p>
              </w:tc>
              <w:tc>
                <w:tcPr>
                  <w:tcW w:w="942" w:type="pct"/>
                  <w:tcBorders>
                    <w:tl2br w:val="nil"/>
                    <w:tr2bl w:val="nil"/>
                  </w:tcBorders>
                  <w:noWrap w:val="0"/>
                  <w:vAlign w:val="center"/>
                </w:tcPr>
                <w:p w14:paraId="4100DC1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lang w:eastAsia="zh-CN"/>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eastAsia="zh-CN"/>
                      <w14:textFill>
                        <w14:solidFill>
                          <w14:schemeClr w14:val="tx1"/>
                        </w14:solidFill>
                      </w14:textFill>
                    </w:rPr>
                    <w:t>达标</w:t>
                  </w:r>
                </w:p>
              </w:tc>
            </w:tr>
            <w:tr w14:paraId="35B001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tcBorders>
                    <w:tl2br w:val="nil"/>
                    <w:tr2bl w:val="nil"/>
                  </w:tcBorders>
                  <w:noWrap w:val="0"/>
                  <w:vAlign w:val="center"/>
                </w:tcPr>
                <w:p w14:paraId="7C50F083">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t>南侧厂界</w:t>
                  </w:r>
                </w:p>
              </w:tc>
              <w:tc>
                <w:tcPr>
                  <w:tcW w:w="2349" w:type="dxa"/>
                  <w:tcBorders>
                    <w:tl2br w:val="nil"/>
                    <w:tr2bl w:val="nil"/>
                  </w:tcBorders>
                  <w:noWrap w:val="0"/>
                  <w:vAlign w:val="center"/>
                </w:tcPr>
                <w:p w14:paraId="41C2788E">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t>44.2</w:t>
                  </w:r>
                </w:p>
              </w:tc>
              <w:tc>
                <w:tcPr>
                  <w:tcW w:w="911" w:type="pct"/>
                  <w:vMerge w:val="continue"/>
                  <w:tcBorders>
                    <w:tl2br w:val="nil"/>
                    <w:tr2bl w:val="nil"/>
                  </w:tcBorders>
                  <w:noWrap w:val="0"/>
                  <w:vAlign w:val="center"/>
                </w:tcPr>
                <w:p w14:paraId="5A30FC8B">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p>
              </w:tc>
              <w:tc>
                <w:tcPr>
                  <w:tcW w:w="785" w:type="pct"/>
                  <w:vMerge w:val="continue"/>
                  <w:tcBorders>
                    <w:tl2br w:val="nil"/>
                    <w:tr2bl w:val="nil"/>
                  </w:tcBorders>
                  <w:noWrap w:val="0"/>
                  <w:vAlign w:val="center"/>
                </w:tcPr>
                <w:p w14:paraId="5A9C300C">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p>
              </w:tc>
              <w:tc>
                <w:tcPr>
                  <w:tcW w:w="942" w:type="pct"/>
                  <w:tcBorders>
                    <w:tl2br w:val="nil"/>
                    <w:tr2bl w:val="nil"/>
                  </w:tcBorders>
                  <w:noWrap w:val="0"/>
                  <w:vAlign w:val="center"/>
                </w:tcPr>
                <w:p w14:paraId="4B4A707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eastAsia="zh-CN"/>
                      <w14:textFill>
                        <w14:solidFill>
                          <w14:schemeClr w14:val="tx1"/>
                        </w14:solidFill>
                      </w14:textFill>
                    </w:rPr>
                    <w:t>达标</w:t>
                  </w:r>
                </w:p>
              </w:tc>
            </w:tr>
            <w:tr w14:paraId="46BC7F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tcBorders>
                    <w:tl2br w:val="nil"/>
                    <w:tr2bl w:val="nil"/>
                  </w:tcBorders>
                  <w:noWrap w:val="0"/>
                  <w:vAlign w:val="center"/>
                </w:tcPr>
                <w:p w14:paraId="728018CE">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t>西侧厂界</w:t>
                  </w:r>
                </w:p>
              </w:tc>
              <w:tc>
                <w:tcPr>
                  <w:tcW w:w="2349" w:type="dxa"/>
                  <w:tcBorders>
                    <w:tl2br w:val="nil"/>
                    <w:tr2bl w:val="nil"/>
                  </w:tcBorders>
                  <w:noWrap w:val="0"/>
                  <w:vAlign w:val="center"/>
                </w:tcPr>
                <w:p w14:paraId="5CDF4CF7">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t>43.1</w:t>
                  </w:r>
                </w:p>
              </w:tc>
              <w:tc>
                <w:tcPr>
                  <w:tcW w:w="911" w:type="pct"/>
                  <w:vMerge w:val="continue"/>
                  <w:tcBorders>
                    <w:tl2br w:val="nil"/>
                    <w:tr2bl w:val="nil"/>
                  </w:tcBorders>
                  <w:noWrap w:val="0"/>
                  <w:vAlign w:val="center"/>
                </w:tcPr>
                <w:p w14:paraId="0037277D">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p>
              </w:tc>
              <w:tc>
                <w:tcPr>
                  <w:tcW w:w="785" w:type="pct"/>
                  <w:vMerge w:val="continue"/>
                  <w:tcBorders>
                    <w:tl2br w:val="nil"/>
                    <w:tr2bl w:val="nil"/>
                  </w:tcBorders>
                  <w:noWrap w:val="0"/>
                  <w:vAlign w:val="center"/>
                </w:tcPr>
                <w:p w14:paraId="084DAEC6">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p>
              </w:tc>
              <w:tc>
                <w:tcPr>
                  <w:tcW w:w="942" w:type="pct"/>
                  <w:tcBorders>
                    <w:tl2br w:val="nil"/>
                    <w:tr2bl w:val="nil"/>
                  </w:tcBorders>
                  <w:noWrap w:val="0"/>
                  <w:vAlign w:val="center"/>
                </w:tcPr>
                <w:p w14:paraId="7C41F38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eastAsia="zh-CN"/>
                      <w14:textFill>
                        <w14:solidFill>
                          <w14:schemeClr w14:val="tx1"/>
                        </w14:solidFill>
                      </w14:textFill>
                    </w:rPr>
                    <w:t>达标</w:t>
                  </w:r>
                </w:p>
              </w:tc>
            </w:tr>
            <w:tr w14:paraId="762186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tcBorders>
                    <w:tl2br w:val="nil"/>
                    <w:tr2bl w:val="nil"/>
                  </w:tcBorders>
                  <w:noWrap w:val="0"/>
                  <w:vAlign w:val="center"/>
                </w:tcPr>
                <w:p w14:paraId="5AB7A19A">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t>北</w:t>
                  </w:r>
                  <w:r>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t>侧厂界</w:t>
                  </w:r>
                </w:p>
              </w:tc>
              <w:tc>
                <w:tcPr>
                  <w:tcW w:w="2349" w:type="dxa"/>
                  <w:tcBorders>
                    <w:tl2br w:val="nil"/>
                    <w:tr2bl w:val="nil"/>
                  </w:tcBorders>
                  <w:noWrap w:val="0"/>
                  <w:vAlign w:val="center"/>
                </w:tcPr>
                <w:p w14:paraId="720AC7C1">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val="en-US" w:eastAsia="zh-CN"/>
                      <w14:textFill>
                        <w14:solidFill>
                          <w14:schemeClr w14:val="tx1"/>
                        </w14:solidFill>
                      </w14:textFill>
                    </w:rPr>
                    <w:t>35.0</w:t>
                  </w:r>
                </w:p>
              </w:tc>
              <w:tc>
                <w:tcPr>
                  <w:tcW w:w="911" w:type="pct"/>
                  <w:vMerge w:val="continue"/>
                  <w:tcBorders>
                    <w:tl2br w:val="nil"/>
                    <w:tr2bl w:val="nil"/>
                  </w:tcBorders>
                  <w:noWrap w:val="0"/>
                  <w:vAlign w:val="center"/>
                </w:tcPr>
                <w:p w14:paraId="0016E3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p>
              </w:tc>
              <w:tc>
                <w:tcPr>
                  <w:tcW w:w="785" w:type="pct"/>
                  <w:vMerge w:val="continue"/>
                  <w:tcBorders>
                    <w:tl2br w:val="nil"/>
                    <w:tr2bl w:val="nil"/>
                  </w:tcBorders>
                  <w:noWrap w:val="0"/>
                  <w:vAlign w:val="center"/>
                </w:tcPr>
                <w:p w14:paraId="557A40E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p>
              </w:tc>
              <w:tc>
                <w:tcPr>
                  <w:tcW w:w="942" w:type="pct"/>
                  <w:tcBorders>
                    <w:tl2br w:val="nil"/>
                    <w:tr2bl w:val="nil"/>
                  </w:tcBorders>
                  <w:noWrap w:val="0"/>
                  <w:vAlign w:val="center"/>
                </w:tcPr>
                <w:p w14:paraId="78FA0C9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pacing w:val="0"/>
                      <w:sz w:val="21"/>
                      <w:szCs w:val="21"/>
                      <w:highlight w:val="none"/>
                      <w14:textFill>
                        <w14:solidFill>
                          <w14:schemeClr w14:val="tx1"/>
                        </w14:solidFill>
                      </w14:textFill>
                    </w:rPr>
                  </w:pPr>
                  <w:r>
                    <w:rPr>
                      <w:rFonts w:hint="eastAsia" w:ascii="Times New Roman" w:hAnsi="Times New Roman" w:eastAsia="宋体" w:cs="宋体"/>
                      <w:caps w:val="0"/>
                      <w:color w:val="000000" w:themeColor="text1"/>
                      <w:spacing w:val="0"/>
                      <w:sz w:val="21"/>
                      <w:szCs w:val="21"/>
                      <w:highlight w:val="none"/>
                      <w:lang w:eastAsia="zh-CN"/>
                      <w14:textFill>
                        <w14:solidFill>
                          <w14:schemeClr w14:val="tx1"/>
                        </w14:solidFill>
                      </w14:textFill>
                    </w:rPr>
                    <w:t>达标</w:t>
                  </w:r>
                </w:p>
              </w:tc>
            </w:tr>
          </w:tbl>
          <w:p w14:paraId="30186A67">
            <w:pPr>
              <w:pStyle w:val="47"/>
              <w:rPr>
                <w:rFonts w:hint="eastAsia" w:ascii="Times New Roman" w:hAnsi="Times New Roman" w:eastAsia="宋体" w:cs="宋体"/>
                <w:caps w:val="0"/>
                <w:spacing w:val="0"/>
                <w:highlight w:val="none"/>
              </w:rPr>
            </w:pPr>
            <w:r>
              <w:rPr>
                <w:rFonts w:hint="eastAsia" w:ascii="Times New Roman" w:hAnsi="Times New Roman" w:eastAsia="宋体" w:cs="宋体"/>
                <w:caps w:val="0"/>
                <w:color w:val="auto"/>
                <w:sz w:val="24"/>
                <w:highlight w:val="none"/>
              </w:rPr>
              <w:t>由预测结果可知</w:t>
            </w:r>
            <w:r>
              <w:rPr>
                <w:rFonts w:hint="eastAsia" w:ascii="Times New Roman" w:hAnsi="Times New Roman" w:eastAsia="宋体" w:cs="宋体"/>
                <w:caps w:val="0"/>
                <w:color w:val="auto"/>
                <w:sz w:val="24"/>
                <w:highlight w:val="none"/>
                <w:lang w:eastAsia="zh-CN"/>
              </w:rPr>
              <w:t>，</w:t>
            </w:r>
            <w:r>
              <w:rPr>
                <w:rFonts w:hint="eastAsia" w:ascii="Times New Roman" w:hAnsi="Times New Roman" w:eastAsia="宋体" w:cs="宋体"/>
                <w:caps w:val="0"/>
                <w:color w:val="auto"/>
                <w:kern w:val="0"/>
                <w:sz w:val="24"/>
                <w:highlight w:val="none"/>
              </w:rPr>
              <w:t>本</w:t>
            </w:r>
            <w:r>
              <w:rPr>
                <w:rFonts w:hint="eastAsia" w:ascii="Times New Roman" w:hAnsi="Times New Roman" w:eastAsia="宋体" w:cs="宋体"/>
                <w:caps w:val="0"/>
                <w:color w:val="auto"/>
                <w:kern w:val="0"/>
                <w:sz w:val="24"/>
                <w:highlight w:val="none"/>
                <w:lang w:val="en-US" w:eastAsia="zh-CN"/>
              </w:rPr>
              <w:t>项目</w:t>
            </w:r>
            <w:r>
              <w:rPr>
                <w:rFonts w:hint="eastAsia" w:ascii="Times New Roman" w:hAnsi="Times New Roman" w:eastAsia="宋体" w:cs="宋体"/>
                <w:caps w:val="0"/>
                <w:color w:val="auto"/>
                <w:kern w:val="0"/>
                <w:sz w:val="24"/>
                <w:highlight w:val="none"/>
              </w:rPr>
              <w:t>选用低噪声设备，经减振、隔声处理</w:t>
            </w:r>
            <w:r>
              <w:rPr>
                <w:rFonts w:hint="eastAsia" w:ascii="Times New Roman" w:hAnsi="Times New Roman" w:eastAsia="宋体" w:cs="宋体"/>
                <w:caps w:val="0"/>
                <w:color w:val="auto"/>
                <w:kern w:val="0"/>
                <w:sz w:val="24"/>
                <w:highlight w:val="none"/>
                <w:lang w:eastAsia="zh-CN"/>
              </w:rPr>
              <w:t>等</w:t>
            </w:r>
            <w:r>
              <w:rPr>
                <w:rFonts w:hint="eastAsia" w:ascii="Times New Roman" w:hAnsi="Times New Roman" w:eastAsia="宋体" w:cs="宋体"/>
                <w:caps w:val="0"/>
                <w:color w:val="auto"/>
                <w:kern w:val="0"/>
                <w:sz w:val="24"/>
                <w:highlight w:val="none"/>
              </w:rPr>
              <w:t>降噪措施后，厂界</w:t>
            </w:r>
            <w:r>
              <w:rPr>
                <w:rFonts w:hint="eastAsia" w:ascii="Times New Roman" w:hAnsi="Times New Roman" w:eastAsia="宋体" w:cs="宋体"/>
                <w:caps w:val="0"/>
                <w:color w:val="auto"/>
                <w:kern w:val="0"/>
                <w:sz w:val="24"/>
                <w:highlight w:val="none"/>
                <w:lang w:val="en-US" w:eastAsia="zh-CN"/>
              </w:rPr>
              <w:t>四侧</w:t>
            </w:r>
            <w:r>
              <w:rPr>
                <w:rFonts w:hint="eastAsia" w:ascii="Times New Roman" w:hAnsi="Times New Roman" w:eastAsia="宋体" w:cs="宋体"/>
                <w:caps w:val="0"/>
                <w:color w:val="auto"/>
                <w:kern w:val="0"/>
                <w:sz w:val="24"/>
                <w:highlight w:val="none"/>
              </w:rPr>
              <w:t>可满足《工业企业厂界环境噪声排放标准》（GB</w:t>
            </w:r>
            <w:r>
              <w:rPr>
                <w:rFonts w:hint="eastAsia" w:ascii="Times New Roman" w:hAnsi="Times New Roman" w:eastAsia="宋体" w:cs="宋体"/>
                <w:caps w:val="0"/>
                <w:color w:val="auto"/>
                <w:kern w:val="0"/>
                <w:sz w:val="24"/>
                <w:highlight w:val="none"/>
                <w:lang w:val="en-US" w:eastAsia="zh-CN"/>
              </w:rPr>
              <w:t xml:space="preserve"> </w:t>
            </w:r>
            <w:r>
              <w:rPr>
                <w:rFonts w:hint="eastAsia" w:ascii="Times New Roman" w:hAnsi="Times New Roman" w:eastAsia="宋体" w:cs="宋体"/>
                <w:caps w:val="0"/>
                <w:color w:val="auto"/>
                <w:kern w:val="0"/>
                <w:sz w:val="24"/>
                <w:highlight w:val="none"/>
              </w:rPr>
              <w:t>12348-2008）表1中</w:t>
            </w:r>
            <w:r>
              <w:rPr>
                <w:rFonts w:hint="eastAsia" w:ascii="Times New Roman" w:hAnsi="Times New Roman" w:eastAsia="宋体" w:cs="宋体"/>
                <w:caps w:val="0"/>
                <w:color w:val="auto"/>
                <w:kern w:val="0"/>
                <w:sz w:val="24"/>
                <w:highlight w:val="none"/>
                <w:lang w:val="en-US" w:eastAsia="zh-CN"/>
              </w:rPr>
              <w:t>2类标准</w:t>
            </w:r>
            <w:r>
              <w:rPr>
                <w:rFonts w:hint="eastAsia" w:ascii="Times New Roman" w:hAnsi="Times New Roman" w:eastAsia="宋体" w:cs="宋体"/>
                <w:caps w:val="0"/>
                <w:color w:val="auto"/>
                <w:kern w:val="0"/>
                <w:sz w:val="24"/>
                <w:highlight w:val="none"/>
              </w:rPr>
              <w:t>要求</w:t>
            </w:r>
            <w:r>
              <w:rPr>
                <w:rFonts w:hint="eastAsia" w:ascii="Times New Roman" w:hAnsi="Times New Roman" w:eastAsia="宋体" w:cs="宋体"/>
                <w:caps w:val="0"/>
                <w:color w:val="auto"/>
                <w:kern w:val="0"/>
                <w:sz w:val="24"/>
                <w:highlight w:val="none"/>
                <w:lang w:val="en-US" w:eastAsia="zh-CN"/>
              </w:rPr>
              <w:t>。</w:t>
            </w:r>
          </w:p>
          <w:p w14:paraId="19381D4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Times New Roman" w:hAnsi="Times New Roman" w:eastAsia="宋体" w:cs="宋体"/>
                <w:b/>
                <w:caps w:val="0"/>
                <w:spacing w:val="0"/>
                <w:kern w:val="0"/>
                <w:sz w:val="24"/>
                <w:highlight w:val="none"/>
              </w:rPr>
            </w:pPr>
            <w:r>
              <w:rPr>
                <w:rFonts w:hint="eastAsia" w:ascii="Times New Roman" w:hAnsi="Times New Roman" w:eastAsia="宋体" w:cs="宋体"/>
                <w:b/>
                <w:caps w:val="0"/>
                <w:spacing w:val="0"/>
                <w:kern w:val="0"/>
                <w:sz w:val="24"/>
                <w:highlight w:val="none"/>
                <w:lang w:val="en-US" w:eastAsia="zh-CN"/>
              </w:rPr>
              <w:t>3.4</w:t>
            </w:r>
            <w:r>
              <w:rPr>
                <w:rFonts w:hint="eastAsia" w:ascii="Times New Roman" w:hAnsi="Times New Roman" w:eastAsia="宋体" w:cs="宋体"/>
                <w:b/>
                <w:caps w:val="0"/>
                <w:spacing w:val="0"/>
                <w:kern w:val="0"/>
                <w:sz w:val="24"/>
                <w:highlight w:val="none"/>
              </w:rPr>
              <w:t>噪声监测要求</w:t>
            </w:r>
          </w:p>
          <w:p w14:paraId="75085EF2">
            <w:pPr>
              <w:adjustRightInd w:val="0"/>
              <w:snapToGrid w:val="0"/>
              <w:spacing w:line="360" w:lineRule="auto"/>
              <w:ind w:firstLine="480" w:firstLineChars="200"/>
              <w:rPr>
                <w:rFonts w:hint="eastAsia" w:ascii="Times New Roman" w:hAnsi="Times New Roman" w:eastAsia="宋体" w:cs="宋体"/>
                <w:caps w:val="0"/>
                <w:spacing w:val="0"/>
                <w:sz w:val="24"/>
                <w:szCs w:val="21"/>
                <w:highlight w:val="none"/>
              </w:rPr>
            </w:pPr>
            <w:r>
              <w:rPr>
                <w:rFonts w:hint="eastAsia" w:ascii="Times New Roman" w:hAnsi="Times New Roman" w:eastAsia="宋体" w:cs="宋体"/>
                <w:caps w:val="0"/>
                <w:spacing w:val="0"/>
                <w:sz w:val="24"/>
                <w:szCs w:val="21"/>
                <w:highlight w:val="none"/>
              </w:rPr>
              <w:t>依据</w:t>
            </w:r>
            <w:r>
              <w:rPr>
                <w:rFonts w:hint="eastAsia" w:ascii="Times New Roman" w:hAnsi="Times New Roman" w:eastAsia="宋体" w:cs="宋体"/>
                <w:caps w:val="0"/>
                <w:spacing w:val="0"/>
                <w:sz w:val="24"/>
                <w:szCs w:val="21"/>
                <w:highlight w:val="none"/>
                <w:lang w:val="en-US" w:eastAsia="zh-CN"/>
              </w:rPr>
              <w:t>《</w:t>
            </w:r>
            <w:r>
              <w:rPr>
                <w:rFonts w:hint="eastAsia" w:ascii="Times New Roman" w:hAnsi="Times New Roman" w:eastAsia="宋体" w:cs="宋体"/>
                <w:caps w:val="0"/>
                <w:spacing w:val="0"/>
                <w:sz w:val="24"/>
                <w:szCs w:val="21"/>
                <w:highlight w:val="none"/>
                <w:lang w:val="en-US" w:eastAsia="zh-CN"/>
              </w:rPr>
              <w:fldChar w:fldCharType="begin"/>
            </w:r>
            <w:r>
              <w:rPr>
                <w:rFonts w:hint="eastAsia" w:ascii="Times New Roman" w:hAnsi="Times New Roman" w:eastAsia="宋体" w:cs="宋体"/>
                <w:caps w:val="0"/>
                <w:spacing w:val="0"/>
                <w:sz w:val="24"/>
                <w:szCs w:val="21"/>
                <w:highlight w:val="none"/>
                <w:lang w:val="en-US" w:eastAsia="zh-CN"/>
              </w:rPr>
              <w:instrText xml:space="preserve"> HYPERLINK "https://www.mee.gov.cn/ywgz/fgbz/bz/bzwb/shjbh/xgbzh/201705/W020170511332490849000.pdf" </w:instrText>
            </w:r>
            <w:r>
              <w:rPr>
                <w:rFonts w:hint="eastAsia" w:ascii="Times New Roman" w:hAnsi="Times New Roman" w:eastAsia="宋体" w:cs="宋体"/>
                <w:caps w:val="0"/>
                <w:spacing w:val="0"/>
                <w:sz w:val="24"/>
                <w:szCs w:val="21"/>
                <w:highlight w:val="none"/>
                <w:lang w:val="en-US" w:eastAsia="zh-CN"/>
              </w:rPr>
              <w:fldChar w:fldCharType="separate"/>
            </w:r>
            <w:r>
              <w:rPr>
                <w:rFonts w:hint="eastAsia" w:ascii="Times New Roman" w:hAnsi="Times New Roman" w:eastAsia="宋体" w:cs="宋体"/>
                <w:caps w:val="0"/>
                <w:spacing w:val="0"/>
                <w:sz w:val="24"/>
                <w:szCs w:val="21"/>
                <w:highlight w:val="none"/>
                <w:lang w:val="en-US" w:eastAsia="zh-CN"/>
              </w:rPr>
              <w:t>排污单位自行监测技术指南 总则》（HJ819-2017）</w:t>
            </w:r>
            <w:r>
              <w:rPr>
                <w:rFonts w:hint="eastAsia" w:ascii="Times New Roman" w:hAnsi="Times New Roman" w:eastAsia="宋体" w:cs="宋体"/>
                <w:caps w:val="0"/>
                <w:spacing w:val="0"/>
                <w:sz w:val="24"/>
                <w:szCs w:val="21"/>
                <w:highlight w:val="none"/>
                <w:lang w:val="en-US" w:eastAsia="zh-CN"/>
              </w:rPr>
              <w:fldChar w:fldCharType="end"/>
            </w:r>
            <w:r>
              <w:rPr>
                <w:rFonts w:hint="eastAsia" w:ascii="Times New Roman" w:hAnsi="Times New Roman" w:eastAsia="宋体" w:cs="宋体"/>
                <w:caps w:val="0"/>
                <w:spacing w:val="0"/>
                <w:sz w:val="24"/>
                <w:szCs w:val="21"/>
                <w:highlight w:val="none"/>
              </w:rPr>
              <w:t>要求，运营期噪声监测计划如下：</w:t>
            </w:r>
          </w:p>
          <w:p w14:paraId="33255F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caps w:val="0"/>
                <w:spacing w:val="0"/>
                <w:sz w:val="21"/>
                <w:szCs w:val="21"/>
                <w:highlight w:val="none"/>
              </w:rPr>
            </w:pPr>
            <w:r>
              <w:rPr>
                <w:rFonts w:hint="eastAsia" w:ascii="Times New Roman" w:hAnsi="Times New Roman" w:eastAsia="宋体" w:cs="宋体"/>
                <w:b/>
                <w:caps w:val="0"/>
                <w:spacing w:val="0"/>
                <w:sz w:val="21"/>
                <w:szCs w:val="21"/>
                <w:highlight w:val="none"/>
              </w:rPr>
              <w:t>表4-</w:t>
            </w:r>
            <w:r>
              <w:rPr>
                <w:rFonts w:hint="eastAsia" w:ascii="Times New Roman" w:hAnsi="Times New Roman" w:eastAsia="宋体" w:cs="宋体"/>
                <w:b/>
                <w:caps w:val="0"/>
                <w:spacing w:val="0"/>
                <w:sz w:val="21"/>
                <w:szCs w:val="21"/>
                <w:highlight w:val="none"/>
                <w:lang w:val="en-US" w:eastAsia="zh-CN"/>
              </w:rPr>
              <w:t>1</w:t>
            </w:r>
            <w:r>
              <w:rPr>
                <w:rFonts w:hint="eastAsia" w:ascii="Times New Roman" w:hAnsi="Times New Roman" w:cs="宋体"/>
                <w:b/>
                <w:caps w:val="0"/>
                <w:spacing w:val="0"/>
                <w:sz w:val="21"/>
                <w:szCs w:val="21"/>
                <w:highlight w:val="none"/>
                <w:lang w:val="en-US" w:eastAsia="zh-CN"/>
              </w:rPr>
              <w:t>1</w:t>
            </w:r>
            <w:r>
              <w:rPr>
                <w:rFonts w:hint="eastAsia" w:ascii="Times New Roman" w:hAnsi="Times New Roman" w:eastAsia="宋体" w:cs="宋体"/>
                <w:b/>
                <w:caps w:val="0"/>
                <w:spacing w:val="0"/>
                <w:sz w:val="21"/>
                <w:szCs w:val="21"/>
                <w:highlight w:val="none"/>
              </w:rPr>
              <w:t xml:space="preserve"> 噪声监测要求</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62"/>
              <w:gridCol w:w="2506"/>
              <w:gridCol w:w="1796"/>
            </w:tblGrid>
            <w:tr w14:paraId="08418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64" w:type="pct"/>
                  <w:tcBorders>
                    <w:top w:val="single" w:color="auto" w:sz="12" w:space="0"/>
                    <w:left w:val="nil"/>
                    <w:bottom w:val="single" w:color="auto" w:sz="8" w:space="0"/>
                  </w:tcBorders>
                  <w:noWrap w:val="0"/>
                  <w:vAlign w:val="center"/>
                </w:tcPr>
                <w:p w14:paraId="6E8B81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kern w:val="2"/>
                      <w:sz w:val="21"/>
                      <w:szCs w:val="21"/>
                      <w:highlight w:val="none"/>
                      <w:lang w:val="en-US" w:eastAsia="zh-CN" w:bidi="ar-SA"/>
                    </w:rPr>
                  </w:pPr>
                  <w:r>
                    <w:rPr>
                      <w:rFonts w:hint="eastAsia" w:ascii="Times New Roman" w:hAnsi="Times New Roman" w:eastAsia="宋体" w:cs="宋体"/>
                      <w:b/>
                      <w:caps w:val="0"/>
                      <w:spacing w:val="0"/>
                      <w:sz w:val="21"/>
                      <w:szCs w:val="21"/>
                      <w:highlight w:val="none"/>
                    </w:rPr>
                    <w:t>噪声监测点位</w:t>
                  </w:r>
                </w:p>
              </w:tc>
              <w:tc>
                <w:tcPr>
                  <w:tcW w:w="1593" w:type="pct"/>
                  <w:tcBorders>
                    <w:top w:val="single" w:color="auto" w:sz="12" w:space="0"/>
                    <w:bottom w:val="single" w:color="auto" w:sz="8" w:space="0"/>
                  </w:tcBorders>
                  <w:noWrap w:val="0"/>
                  <w:vAlign w:val="center"/>
                </w:tcPr>
                <w:p w14:paraId="381D2A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kern w:val="2"/>
                      <w:sz w:val="21"/>
                      <w:szCs w:val="21"/>
                      <w:highlight w:val="none"/>
                      <w:lang w:val="en-US" w:eastAsia="zh-CN" w:bidi="ar-SA"/>
                    </w:rPr>
                  </w:pPr>
                  <w:r>
                    <w:rPr>
                      <w:rFonts w:hint="eastAsia" w:ascii="Times New Roman" w:hAnsi="Times New Roman" w:eastAsia="宋体" w:cs="宋体"/>
                      <w:b/>
                      <w:caps w:val="0"/>
                      <w:spacing w:val="0"/>
                      <w:sz w:val="21"/>
                      <w:szCs w:val="21"/>
                      <w:highlight w:val="none"/>
                    </w:rPr>
                    <w:t>监测周期</w:t>
                  </w:r>
                </w:p>
              </w:tc>
              <w:tc>
                <w:tcPr>
                  <w:tcW w:w="1141" w:type="pct"/>
                  <w:tcBorders>
                    <w:top w:val="single" w:color="auto" w:sz="12" w:space="0"/>
                    <w:bottom w:val="single" w:color="auto" w:sz="8" w:space="0"/>
                    <w:right w:val="nil"/>
                  </w:tcBorders>
                  <w:noWrap w:val="0"/>
                  <w:vAlign w:val="center"/>
                </w:tcPr>
                <w:p w14:paraId="0A1BE5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spacing w:val="0"/>
                      <w:kern w:val="2"/>
                      <w:sz w:val="21"/>
                      <w:szCs w:val="21"/>
                      <w:highlight w:val="none"/>
                      <w:lang w:val="en-US" w:eastAsia="zh-CN" w:bidi="ar-SA"/>
                    </w:rPr>
                  </w:pPr>
                  <w:r>
                    <w:rPr>
                      <w:rFonts w:hint="eastAsia" w:ascii="Times New Roman" w:hAnsi="Times New Roman" w:eastAsia="宋体" w:cs="宋体"/>
                      <w:b/>
                      <w:caps w:val="0"/>
                      <w:spacing w:val="0"/>
                      <w:sz w:val="21"/>
                      <w:szCs w:val="21"/>
                      <w:highlight w:val="none"/>
                    </w:rPr>
                    <w:t>监测频次</w:t>
                  </w:r>
                </w:p>
              </w:tc>
            </w:tr>
            <w:tr w14:paraId="0592B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64" w:type="pct"/>
                  <w:tcBorders>
                    <w:top w:val="single" w:color="auto" w:sz="8" w:space="0"/>
                    <w:left w:val="nil"/>
                    <w:bottom w:val="single" w:color="auto" w:sz="12" w:space="0"/>
                  </w:tcBorders>
                  <w:noWrap w:val="0"/>
                  <w:vAlign w:val="center"/>
                </w:tcPr>
                <w:p w14:paraId="23368F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spacing w:val="0"/>
                      <w:sz w:val="21"/>
                      <w:szCs w:val="21"/>
                      <w:highlight w:val="none"/>
                      <w:lang w:val="en-US" w:eastAsia="zh-CN"/>
                    </w:rPr>
                  </w:pPr>
                  <w:r>
                    <w:rPr>
                      <w:rFonts w:hint="eastAsia" w:ascii="Times New Roman" w:hAnsi="Times New Roman" w:eastAsia="宋体" w:cs="宋体"/>
                      <w:caps w:val="0"/>
                      <w:spacing w:val="0"/>
                      <w:sz w:val="21"/>
                      <w:szCs w:val="21"/>
                      <w:highlight w:val="none"/>
                      <w:lang w:val="en-US" w:eastAsia="zh-CN"/>
                    </w:rPr>
                    <w:t>东侧、南侧、西侧、北侧厂界外1m</w:t>
                  </w:r>
                </w:p>
              </w:tc>
              <w:tc>
                <w:tcPr>
                  <w:tcW w:w="1593" w:type="pct"/>
                  <w:tcBorders>
                    <w:top w:val="single" w:color="auto" w:sz="8" w:space="0"/>
                    <w:bottom w:val="single" w:color="auto" w:sz="12" w:space="0"/>
                  </w:tcBorders>
                  <w:noWrap w:val="0"/>
                  <w:vAlign w:val="center"/>
                </w:tcPr>
                <w:p w14:paraId="4BE0FE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spacing w:val="0"/>
                      <w:sz w:val="21"/>
                      <w:szCs w:val="21"/>
                      <w:highlight w:val="none"/>
                    </w:rPr>
                  </w:pPr>
                  <w:r>
                    <w:rPr>
                      <w:rFonts w:hint="eastAsia" w:ascii="Times New Roman" w:hAnsi="Times New Roman" w:eastAsia="宋体" w:cs="宋体"/>
                      <w:caps w:val="0"/>
                      <w:spacing w:val="0"/>
                      <w:sz w:val="21"/>
                      <w:szCs w:val="21"/>
                      <w:highlight w:val="none"/>
                    </w:rPr>
                    <w:t>1天</w:t>
                  </w:r>
                  <w:r>
                    <w:rPr>
                      <w:rFonts w:hint="eastAsia" w:ascii="Times New Roman" w:hAnsi="Times New Roman" w:eastAsia="宋体" w:cs="宋体"/>
                      <w:caps w:val="0"/>
                      <w:spacing w:val="0"/>
                      <w:sz w:val="21"/>
                      <w:szCs w:val="21"/>
                      <w:highlight w:val="none"/>
                      <w:lang w:eastAsia="zh-CN"/>
                    </w:rPr>
                    <w:t>（</w:t>
                  </w:r>
                  <w:r>
                    <w:rPr>
                      <w:rFonts w:hint="eastAsia" w:ascii="Times New Roman" w:hAnsi="Times New Roman" w:eastAsia="宋体" w:cs="宋体"/>
                      <w:caps w:val="0"/>
                      <w:spacing w:val="0"/>
                      <w:sz w:val="21"/>
                      <w:szCs w:val="21"/>
                      <w:highlight w:val="none"/>
                    </w:rPr>
                    <w:t>昼、夜间各一次</w:t>
                  </w:r>
                  <w:r>
                    <w:rPr>
                      <w:rFonts w:hint="eastAsia" w:ascii="Times New Roman" w:hAnsi="Times New Roman" w:eastAsia="宋体" w:cs="宋体"/>
                      <w:caps w:val="0"/>
                      <w:spacing w:val="0"/>
                      <w:sz w:val="21"/>
                      <w:szCs w:val="21"/>
                      <w:highlight w:val="none"/>
                      <w:lang w:eastAsia="zh-CN"/>
                    </w:rPr>
                    <w:t>）</w:t>
                  </w:r>
                </w:p>
              </w:tc>
              <w:tc>
                <w:tcPr>
                  <w:tcW w:w="1141" w:type="pct"/>
                  <w:tcBorders>
                    <w:top w:val="single" w:color="auto" w:sz="8" w:space="0"/>
                    <w:bottom w:val="single" w:color="auto" w:sz="12" w:space="0"/>
                    <w:right w:val="nil"/>
                  </w:tcBorders>
                  <w:noWrap w:val="0"/>
                  <w:vAlign w:val="center"/>
                </w:tcPr>
                <w:p w14:paraId="49EC86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spacing w:val="0"/>
                      <w:sz w:val="21"/>
                      <w:szCs w:val="21"/>
                      <w:highlight w:val="none"/>
                    </w:rPr>
                  </w:pPr>
                  <w:r>
                    <w:rPr>
                      <w:rFonts w:hint="eastAsia" w:ascii="Times New Roman" w:hAnsi="Times New Roman" w:eastAsia="宋体" w:cs="宋体"/>
                      <w:caps w:val="0"/>
                      <w:spacing w:val="0"/>
                      <w:sz w:val="21"/>
                      <w:szCs w:val="21"/>
                      <w:highlight w:val="none"/>
                    </w:rPr>
                    <w:t>1次/季度</w:t>
                  </w:r>
                </w:p>
              </w:tc>
            </w:tr>
          </w:tbl>
          <w:p w14:paraId="4B331026">
            <w:pPr>
              <w:spacing w:line="360" w:lineRule="auto"/>
              <w:ind w:left="0" w:leftChars="0" w:firstLine="0" w:firstLineChars="0"/>
              <w:rPr>
                <w:rFonts w:hint="eastAsia" w:ascii="Times New Roman" w:hAnsi="Times New Roman" w:eastAsia="宋体" w:cs="宋体"/>
                <w:b/>
                <w:bCs w:val="0"/>
                <w:caps w:val="0"/>
                <w:spacing w:val="0"/>
                <w:sz w:val="24"/>
                <w:szCs w:val="24"/>
                <w:highlight w:val="none"/>
                <w:lang w:val="en-US" w:eastAsia="zh-CN"/>
              </w:rPr>
            </w:pPr>
            <w:r>
              <w:rPr>
                <w:rFonts w:hint="eastAsia" w:ascii="Times New Roman" w:hAnsi="Times New Roman" w:eastAsia="宋体" w:cs="宋体"/>
                <w:b/>
                <w:bCs w:val="0"/>
                <w:caps w:val="0"/>
                <w:spacing w:val="0"/>
                <w:sz w:val="24"/>
                <w:szCs w:val="24"/>
                <w:highlight w:val="none"/>
                <w:lang w:val="en-US" w:eastAsia="zh-CN"/>
              </w:rPr>
              <w:t>4.固体废物</w:t>
            </w:r>
          </w:p>
          <w:p w14:paraId="13D1B572">
            <w:pPr>
              <w:spacing w:line="360" w:lineRule="auto"/>
              <w:ind w:firstLine="480" w:firstLineChars="200"/>
              <w:rPr>
                <w:rFonts w:hint="eastAsia" w:ascii="Times New Roman" w:hAnsi="Times New Roman" w:eastAsia="宋体" w:cs="宋体"/>
                <w:caps w:val="0"/>
                <w:spacing w:val="0"/>
                <w:szCs w:val="21"/>
                <w:highlight w:val="none"/>
                <w:lang w:eastAsia="zh-CN"/>
              </w:rPr>
            </w:pPr>
            <w:r>
              <w:rPr>
                <w:rFonts w:hint="eastAsia" w:ascii="Times New Roman" w:hAnsi="Times New Roman" w:eastAsia="宋体" w:cs="宋体"/>
                <w:caps w:val="0"/>
                <w:spacing w:val="0"/>
                <w:sz w:val="24"/>
                <w:highlight w:val="none"/>
              </w:rPr>
              <w:t>本项目营运期产生的固体废物包括一般工业固体废物</w:t>
            </w:r>
            <w:r>
              <w:rPr>
                <w:rFonts w:hint="eastAsia" w:ascii="Times New Roman" w:hAnsi="Times New Roman" w:eastAsia="宋体" w:cs="宋体"/>
                <w:caps w:val="0"/>
                <w:spacing w:val="0"/>
                <w:sz w:val="24"/>
                <w:highlight w:val="none"/>
                <w:lang w:eastAsia="zh-CN"/>
              </w:rPr>
              <w:t>。</w:t>
            </w:r>
          </w:p>
          <w:p w14:paraId="701D81B3">
            <w:pPr>
              <w:keepNext w:val="0"/>
              <w:keepLines w:val="0"/>
              <w:pageBreakBefore w:val="0"/>
              <w:widowControl w:val="0"/>
              <w:kinsoku/>
              <w:wordWrap/>
              <w:overflowPunct/>
              <w:topLinePunct w:val="0"/>
              <w:autoSpaceDE/>
              <w:autoSpaceDN/>
              <w:bidi w:val="0"/>
              <w:adjustRightInd w:val="0"/>
              <w:snapToGrid w:val="0"/>
              <w:spacing w:line="360" w:lineRule="auto"/>
              <w:ind w:left="0" w:leftChars="0" w:right="72" w:rightChars="30" w:firstLine="482" w:firstLineChars="200"/>
              <w:jc w:val="left"/>
              <w:textAlignment w:val="auto"/>
              <w:rPr>
                <w:rFonts w:hint="eastAsia" w:ascii="Times New Roman" w:hAnsi="Times New Roman" w:eastAsia="宋体" w:cs="宋体"/>
                <w:b/>
                <w:bCs/>
                <w:caps w:val="0"/>
                <w:spacing w:val="0"/>
                <w:sz w:val="24"/>
                <w:highlight w:val="none"/>
              </w:rPr>
            </w:pPr>
            <w:r>
              <w:rPr>
                <w:rFonts w:hint="eastAsia" w:ascii="Times New Roman" w:hAnsi="Times New Roman" w:eastAsia="宋体" w:cs="宋体"/>
                <w:b/>
                <w:bCs/>
                <w:caps w:val="0"/>
                <w:spacing w:val="0"/>
                <w:sz w:val="24"/>
                <w:highlight w:val="none"/>
              </w:rPr>
              <w:t>4</w:t>
            </w:r>
            <w:r>
              <w:rPr>
                <w:rFonts w:hint="eastAsia" w:ascii="Times New Roman" w:hAnsi="Times New Roman" w:eastAsia="宋体" w:cs="宋体"/>
                <w:b/>
                <w:bCs/>
                <w:caps w:val="0"/>
                <w:spacing w:val="0"/>
                <w:sz w:val="24"/>
                <w:highlight w:val="none"/>
                <w:lang w:eastAsia="zh-CN"/>
              </w:rPr>
              <w:t>.</w:t>
            </w:r>
            <w:r>
              <w:rPr>
                <w:rFonts w:hint="eastAsia" w:ascii="Times New Roman" w:hAnsi="Times New Roman" w:eastAsia="宋体" w:cs="宋体"/>
                <w:b/>
                <w:bCs/>
                <w:caps w:val="0"/>
                <w:spacing w:val="0"/>
                <w:sz w:val="24"/>
                <w:highlight w:val="none"/>
              </w:rPr>
              <w:t>1一般工业固体废物影响分析</w:t>
            </w:r>
          </w:p>
          <w:p w14:paraId="20F516A4">
            <w:pPr>
              <w:spacing w:line="360" w:lineRule="auto"/>
              <w:ind w:right="72" w:rightChars="30" w:firstLine="480" w:firstLineChars="200"/>
              <w:jc w:val="left"/>
              <w:rPr>
                <w:rFonts w:hint="default" w:ascii="Times New Roman" w:hAnsi="Times New Roman" w:eastAsia="宋体" w:cs="宋体"/>
                <w:caps w:val="0"/>
                <w:highlight w:val="none"/>
                <w:lang w:val="en-US" w:eastAsia="zh-CN"/>
              </w:rPr>
            </w:pPr>
            <w:r>
              <w:rPr>
                <w:rFonts w:hint="eastAsia" w:ascii="Times New Roman" w:hAnsi="Times New Roman" w:eastAsia="宋体" w:cs="宋体"/>
                <w:caps w:val="0"/>
                <w:spacing w:val="0"/>
                <w:sz w:val="24"/>
                <w:szCs w:val="24"/>
                <w:highlight w:val="none"/>
              </w:rPr>
              <w:t>本项目</w:t>
            </w:r>
            <w:r>
              <w:rPr>
                <w:rFonts w:hint="eastAsia" w:ascii="Times New Roman" w:hAnsi="Times New Roman" w:eastAsia="宋体" w:cs="宋体"/>
                <w:caps w:val="0"/>
                <w:spacing w:val="0"/>
                <w:sz w:val="24"/>
                <w:szCs w:val="24"/>
                <w:highlight w:val="none"/>
                <w:lang w:val="en-US" w:eastAsia="zh-CN"/>
              </w:rPr>
              <w:t>产生的主要固体废物为废导热油、废布袋、布袋除尘器集尘、废机油、废油桶、含油棉纱</w:t>
            </w:r>
            <w:r>
              <w:rPr>
                <w:rFonts w:hint="eastAsia" w:ascii="Times New Roman" w:hAnsi="Times New Roman" w:cs="宋体"/>
                <w:caps w:val="0"/>
                <w:spacing w:val="0"/>
                <w:sz w:val="24"/>
                <w:szCs w:val="24"/>
                <w:highlight w:val="none"/>
                <w:lang w:val="en-US" w:eastAsia="zh-CN"/>
              </w:rPr>
              <w:t>、废生物质燃烧器</w:t>
            </w:r>
            <w:r>
              <w:rPr>
                <w:rFonts w:hint="eastAsia" w:ascii="Times New Roman" w:hAnsi="Times New Roman" w:eastAsia="宋体" w:cs="宋体"/>
                <w:caps w:val="0"/>
                <w:spacing w:val="0"/>
                <w:sz w:val="24"/>
                <w:szCs w:val="24"/>
                <w:highlight w:val="none"/>
                <w:lang w:val="en-US" w:eastAsia="zh-CN"/>
              </w:rPr>
              <w:t>。</w:t>
            </w:r>
          </w:p>
          <w:p w14:paraId="3582A120">
            <w:pPr>
              <w:adjustRightInd w:val="0"/>
              <w:snapToGrid w:val="0"/>
              <w:spacing w:line="360" w:lineRule="auto"/>
              <w:ind w:firstLine="480" w:firstLineChars="200"/>
              <w:rPr>
                <w:rFonts w:ascii="Times New Roman" w:hAnsi="Times New Roman" w:eastAsia="宋体" w:cs="宋体"/>
                <w:caps w:val="0"/>
                <w:kern w:val="0"/>
                <w:sz w:val="24"/>
                <w:highlight w:val="none"/>
              </w:rPr>
            </w:pPr>
            <w:r>
              <w:rPr>
                <w:rFonts w:ascii="Times New Roman" w:hAnsi="Times New Roman" w:eastAsia="宋体" w:cs="宋体"/>
                <w:caps w:val="0"/>
                <w:kern w:val="0"/>
                <w:sz w:val="24"/>
                <w:highlight w:val="none"/>
              </w:rPr>
              <w:t>（</w:t>
            </w:r>
            <w:r>
              <w:rPr>
                <w:rFonts w:hint="eastAsia" w:ascii="Times New Roman" w:hAnsi="Times New Roman" w:eastAsia="宋体" w:cs="宋体"/>
                <w:caps w:val="0"/>
                <w:kern w:val="0"/>
                <w:sz w:val="24"/>
                <w:highlight w:val="none"/>
                <w:lang w:val="en-US" w:eastAsia="zh-CN"/>
              </w:rPr>
              <w:t>1</w:t>
            </w:r>
            <w:r>
              <w:rPr>
                <w:rFonts w:ascii="Times New Roman" w:hAnsi="Times New Roman" w:eastAsia="宋体" w:cs="宋体"/>
                <w:caps w:val="0"/>
                <w:kern w:val="0"/>
                <w:sz w:val="24"/>
                <w:highlight w:val="none"/>
              </w:rPr>
              <w:t>）布袋除尘器收集的粉尘</w:t>
            </w:r>
          </w:p>
          <w:p w14:paraId="0BBE3AF0">
            <w:pPr>
              <w:spacing w:line="360" w:lineRule="auto"/>
              <w:ind w:right="72" w:rightChars="30"/>
              <w:jc w:val="left"/>
              <w:rPr>
                <w:rFonts w:hint="default" w:ascii="Times New Roman" w:hAnsi="Times New Roman" w:eastAsia="宋体" w:cs="宋体"/>
                <w:caps w:val="0"/>
                <w:color w:val="000000"/>
                <w:spacing w:val="0"/>
                <w:sz w:val="24"/>
                <w:highlight w:val="none"/>
                <w:lang w:val="en-US" w:eastAsia="zh-CN"/>
              </w:rPr>
            </w:pPr>
            <w:r>
              <w:rPr>
                <w:rFonts w:ascii="Times New Roman" w:hAnsi="Times New Roman" w:eastAsia="宋体" w:cs="宋体"/>
                <w:caps w:val="0"/>
                <w:sz w:val="24"/>
                <w:highlight w:val="none"/>
              </w:rPr>
              <w:t>本项目</w:t>
            </w:r>
            <w:r>
              <w:rPr>
                <w:rFonts w:hint="eastAsia" w:ascii="Times New Roman" w:hAnsi="Times New Roman" w:eastAsia="宋体" w:cs="宋体"/>
                <w:caps w:val="0"/>
                <w:sz w:val="24"/>
                <w:highlight w:val="none"/>
              </w:rPr>
              <w:t>高效</w:t>
            </w:r>
            <w:r>
              <w:rPr>
                <w:rFonts w:ascii="Times New Roman" w:hAnsi="Times New Roman" w:eastAsia="宋体" w:cs="宋体"/>
                <w:caps w:val="0"/>
                <w:kern w:val="0"/>
                <w:sz w:val="24"/>
                <w:highlight w:val="none"/>
              </w:rPr>
              <w:t>布袋除尘器净化效率为99%，则除尘器收集粉尘量为</w:t>
            </w:r>
            <w:r>
              <w:rPr>
                <w:rFonts w:hint="eastAsia" w:ascii="Times New Roman" w:hAnsi="Times New Roman" w:eastAsia="宋体" w:cs="宋体"/>
                <w:caps w:val="0"/>
                <w:kern w:val="0"/>
                <w:sz w:val="24"/>
                <w:highlight w:val="none"/>
                <w:lang w:val="en-US" w:eastAsia="zh-CN"/>
              </w:rPr>
              <w:t>0.107767</w:t>
            </w:r>
            <w:r>
              <w:rPr>
                <w:rFonts w:ascii="Times New Roman" w:hAnsi="Times New Roman" w:eastAsia="宋体" w:cs="宋体"/>
                <w:caps w:val="0"/>
                <w:kern w:val="0"/>
                <w:sz w:val="24"/>
                <w:highlight w:val="none"/>
              </w:rPr>
              <w:t>t/a。除尘器收集的粉尘</w:t>
            </w:r>
            <w:r>
              <w:rPr>
                <w:rFonts w:ascii="Times New Roman" w:hAnsi="Times New Roman" w:eastAsia="宋体" w:cs="宋体"/>
                <w:caps w:val="0"/>
                <w:sz w:val="24"/>
                <w:highlight w:val="none"/>
              </w:rPr>
              <w:t>袋装暂存于</w:t>
            </w:r>
            <w:r>
              <w:rPr>
                <w:rFonts w:hint="eastAsia" w:ascii="Times New Roman" w:hAnsi="Times New Roman" w:eastAsia="宋体" w:cs="宋体"/>
                <w:caps w:val="0"/>
                <w:kern w:val="0"/>
                <w:sz w:val="24"/>
                <w:highlight w:val="none"/>
                <w:lang w:val="en-US" w:eastAsia="zh-CN"/>
              </w:rPr>
              <w:t>一般固废区</w:t>
            </w:r>
            <w:r>
              <w:rPr>
                <w:rFonts w:ascii="Times New Roman" w:hAnsi="Times New Roman" w:eastAsia="宋体" w:cs="宋体"/>
                <w:caps w:val="0"/>
                <w:sz w:val="24"/>
                <w:highlight w:val="none"/>
              </w:rPr>
              <w:t>，</w:t>
            </w:r>
            <w:r>
              <w:rPr>
                <w:rFonts w:ascii="Times New Roman" w:hAnsi="Times New Roman" w:eastAsia="宋体" w:cs="宋体"/>
                <w:bCs/>
                <w:caps w:val="0"/>
                <w:kern w:val="0"/>
                <w:sz w:val="24"/>
                <w:highlight w:val="none"/>
              </w:rPr>
              <w:t>定期外售综合利用</w:t>
            </w:r>
            <w:r>
              <w:rPr>
                <w:rFonts w:ascii="Times New Roman" w:hAnsi="Times New Roman" w:eastAsia="宋体" w:cs="宋体"/>
                <w:caps w:val="0"/>
                <w:kern w:val="0"/>
                <w:sz w:val="24"/>
                <w:highlight w:val="none"/>
              </w:rPr>
              <w:t>。</w:t>
            </w:r>
            <w:r>
              <w:rPr>
                <w:rFonts w:hint="eastAsia" w:ascii="Times New Roman" w:hAnsi="Times New Roman" w:eastAsia="宋体" w:cs="宋体"/>
                <w:caps w:val="0"/>
                <w:kern w:val="0"/>
                <w:sz w:val="24"/>
                <w:highlight w:val="none"/>
                <w:lang w:val="en-US" w:eastAsia="zh-CN"/>
              </w:rPr>
              <w:t>废物种类为SW59其他工业固体废物，废物代码为900-099-S59 。</w:t>
            </w:r>
          </w:p>
          <w:p w14:paraId="01846E68">
            <w:pPr>
              <w:spacing w:line="360" w:lineRule="auto"/>
              <w:ind w:right="72" w:rightChars="30"/>
              <w:jc w:val="left"/>
              <w:rPr>
                <w:rFonts w:hint="eastAsia" w:ascii="Times New Roman" w:hAnsi="Times New Roman" w:eastAsia="宋体" w:cs="宋体"/>
                <w:caps w:val="0"/>
                <w:color w:val="000000"/>
                <w:spacing w:val="0"/>
                <w:sz w:val="24"/>
                <w:highlight w:val="none"/>
                <w:lang w:eastAsia="zh-CN"/>
              </w:rPr>
            </w:pPr>
            <w:r>
              <w:rPr>
                <w:rFonts w:hint="eastAsia" w:ascii="Times New Roman" w:hAnsi="Times New Roman" w:eastAsia="宋体" w:cs="宋体"/>
                <w:caps w:val="0"/>
                <w:color w:val="000000"/>
                <w:spacing w:val="0"/>
                <w:sz w:val="24"/>
                <w:highlight w:val="none"/>
                <w:lang w:eastAsia="zh-CN"/>
              </w:rPr>
              <w:t>（</w:t>
            </w:r>
            <w:r>
              <w:rPr>
                <w:rFonts w:hint="eastAsia" w:ascii="Times New Roman" w:hAnsi="Times New Roman" w:eastAsia="宋体" w:cs="宋体"/>
                <w:caps w:val="0"/>
                <w:color w:val="000000"/>
                <w:spacing w:val="0"/>
                <w:sz w:val="24"/>
                <w:highlight w:val="none"/>
                <w:lang w:val="en-US" w:eastAsia="zh-CN"/>
              </w:rPr>
              <w:t>2</w:t>
            </w:r>
            <w:r>
              <w:rPr>
                <w:rFonts w:hint="eastAsia" w:ascii="Times New Roman" w:hAnsi="Times New Roman" w:eastAsia="宋体" w:cs="宋体"/>
                <w:caps w:val="0"/>
                <w:color w:val="000000"/>
                <w:spacing w:val="0"/>
                <w:sz w:val="24"/>
                <w:highlight w:val="none"/>
                <w:lang w:eastAsia="zh-CN"/>
              </w:rPr>
              <w:t>）</w:t>
            </w:r>
            <w:r>
              <w:rPr>
                <w:rFonts w:hint="eastAsia" w:ascii="Times New Roman" w:hAnsi="Times New Roman" w:eastAsia="宋体" w:cs="宋体"/>
                <w:caps w:val="0"/>
                <w:kern w:val="0"/>
                <w:sz w:val="24"/>
                <w:highlight w:val="none"/>
                <w:lang w:val="en-US" w:eastAsia="zh-CN"/>
              </w:rPr>
              <w:t>废布袋</w:t>
            </w:r>
          </w:p>
          <w:p w14:paraId="429086D7">
            <w:pPr>
              <w:spacing w:line="360" w:lineRule="auto"/>
              <w:ind w:right="72" w:rightChars="30"/>
              <w:jc w:val="left"/>
              <w:rPr>
                <w:rFonts w:hint="default" w:ascii="Times New Roman" w:hAnsi="Times New Roman" w:eastAsia="宋体" w:cs="宋体"/>
                <w:caps w:val="0"/>
                <w:color w:val="000000"/>
                <w:spacing w:val="0"/>
                <w:sz w:val="24"/>
                <w:highlight w:val="none"/>
                <w:lang w:val="en-US" w:eastAsia="zh-CN"/>
              </w:rPr>
            </w:pPr>
            <w:r>
              <w:rPr>
                <w:rFonts w:hint="eastAsia" w:ascii="Times New Roman" w:hAnsi="Times New Roman" w:eastAsia="宋体" w:cs="宋体"/>
                <w:caps w:val="0"/>
                <w:color w:val="auto"/>
                <w:sz w:val="24"/>
                <w:highlight w:val="none"/>
                <w:lang w:val="en-US" w:eastAsia="zh-CN"/>
              </w:rPr>
              <w:t>保证环保设施的运行效率。本项目约年更换100条布袋，每条布袋约2kg，则产生废布袋量为0.2t/a。产生的废布袋集中收集，集中存放于一般固废区，定期由厂家回收处理。固废类别为SW</w:t>
            </w:r>
            <w:r>
              <w:rPr>
                <w:rFonts w:hint="eastAsia" w:ascii="Times New Roman" w:hAnsi="Times New Roman" w:cs="宋体"/>
                <w:caps w:val="0"/>
                <w:color w:val="auto"/>
                <w:sz w:val="24"/>
                <w:highlight w:val="none"/>
                <w:lang w:val="en-US" w:eastAsia="zh-CN"/>
              </w:rPr>
              <w:t>59</w:t>
            </w:r>
            <w:r>
              <w:rPr>
                <w:rFonts w:hint="eastAsia" w:ascii="Times New Roman" w:hAnsi="Times New Roman" w:eastAsia="宋体" w:cs="宋体"/>
                <w:caps w:val="0"/>
                <w:color w:val="auto"/>
                <w:sz w:val="24"/>
                <w:highlight w:val="none"/>
                <w:lang w:val="en-US" w:eastAsia="zh-CN"/>
              </w:rPr>
              <w:t>可再生类废物，废物代码为900-099-S</w:t>
            </w:r>
            <w:r>
              <w:rPr>
                <w:rFonts w:hint="eastAsia" w:ascii="Times New Roman" w:hAnsi="Times New Roman" w:cs="宋体"/>
                <w:caps w:val="0"/>
                <w:color w:val="auto"/>
                <w:sz w:val="24"/>
                <w:highlight w:val="none"/>
                <w:lang w:val="en-US" w:eastAsia="zh-CN"/>
              </w:rPr>
              <w:t>59</w:t>
            </w:r>
            <w:r>
              <w:rPr>
                <w:rFonts w:hint="eastAsia" w:ascii="Times New Roman" w:hAnsi="Times New Roman" w:eastAsia="宋体" w:cs="宋体"/>
                <w:caps w:val="0"/>
                <w:color w:val="auto"/>
                <w:sz w:val="24"/>
                <w:highlight w:val="none"/>
                <w:lang w:val="en-US" w:eastAsia="zh-CN"/>
              </w:rPr>
              <w:t>。</w:t>
            </w:r>
          </w:p>
          <w:p w14:paraId="32A99C90">
            <w:pPr>
              <w:spacing w:line="360" w:lineRule="auto"/>
              <w:ind w:right="72" w:rightChars="30"/>
              <w:jc w:val="left"/>
              <w:rPr>
                <w:rFonts w:hint="eastAsia" w:ascii="Times New Roman" w:hAnsi="Times New Roman" w:cs="宋体"/>
                <w:caps w:val="0"/>
                <w:color w:val="000000"/>
                <w:spacing w:val="0"/>
                <w:sz w:val="24"/>
                <w:highlight w:val="none"/>
                <w:lang w:val="en-US" w:eastAsia="zh-CN"/>
              </w:rPr>
            </w:pPr>
            <w:r>
              <w:rPr>
                <w:rFonts w:hint="eastAsia" w:ascii="Times New Roman" w:hAnsi="Times New Roman" w:cs="宋体"/>
                <w:caps w:val="0"/>
                <w:color w:val="000000"/>
                <w:spacing w:val="0"/>
                <w:sz w:val="24"/>
                <w:highlight w:val="none"/>
                <w:lang w:eastAsia="zh-CN"/>
              </w:rPr>
              <w:t>（</w:t>
            </w:r>
            <w:r>
              <w:rPr>
                <w:rFonts w:hint="eastAsia" w:ascii="Times New Roman" w:hAnsi="Times New Roman" w:cs="宋体"/>
                <w:caps w:val="0"/>
                <w:color w:val="000000"/>
                <w:spacing w:val="0"/>
                <w:sz w:val="24"/>
                <w:highlight w:val="none"/>
                <w:lang w:val="en-US" w:eastAsia="zh-CN"/>
              </w:rPr>
              <w:t>3</w:t>
            </w:r>
            <w:r>
              <w:rPr>
                <w:rFonts w:hint="eastAsia" w:ascii="Times New Roman" w:hAnsi="Times New Roman" w:cs="宋体"/>
                <w:caps w:val="0"/>
                <w:color w:val="000000"/>
                <w:spacing w:val="0"/>
                <w:sz w:val="24"/>
                <w:highlight w:val="none"/>
                <w:lang w:eastAsia="zh-CN"/>
              </w:rPr>
              <w:t>）</w:t>
            </w:r>
            <w:r>
              <w:rPr>
                <w:rFonts w:hint="eastAsia" w:ascii="Times New Roman" w:hAnsi="Times New Roman" w:cs="宋体"/>
                <w:caps w:val="0"/>
                <w:color w:val="000000"/>
                <w:spacing w:val="0"/>
                <w:sz w:val="24"/>
                <w:highlight w:val="none"/>
                <w:lang w:val="en-US" w:eastAsia="zh-CN"/>
              </w:rPr>
              <w:t>废生物质</w:t>
            </w:r>
            <w:r>
              <w:rPr>
                <w:rFonts w:hint="eastAsia" w:ascii="Times New Roman" w:hAnsi="Times New Roman" w:cs="宋体"/>
                <w:caps w:val="0"/>
                <w:color w:val="000000"/>
                <w:spacing w:val="0"/>
                <w:sz w:val="24"/>
                <w:highlight w:val="none"/>
                <w:lang w:val="en-US" w:eastAsia="zh-CN"/>
              </w:rPr>
              <w:t>导热油炉</w:t>
            </w:r>
            <w:r>
              <w:rPr>
                <w:rFonts w:hint="eastAsia" w:ascii="Times New Roman" w:hAnsi="Times New Roman" w:cs="宋体"/>
                <w:caps w:val="0"/>
                <w:color w:val="000000"/>
                <w:spacing w:val="0"/>
                <w:sz w:val="24"/>
                <w:highlight w:val="none"/>
                <w:lang w:val="en-US" w:eastAsia="zh-CN"/>
              </w:rPr>
              <w:t>燃烧器</w:t>
            </w:r>
          </w:p>
          <w:p w14:paraId="5E0B3CC9">
            <w:pPr>
              <w:pStyle w:val="19"/>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sz w:val="24"/>
                <w:szCs w:val="24"/>
                <w:highlight w:val="none"/>
                <w:lang w:val="en-US" w:eastAsia="zh-CN"/>
              </w:rPr>
            </w:pPr>
            <w:r>
              <w:rPr>
                <w:rFonts w:hint="eastAsia"/>
                <w:sz w:val="24"/>
                <w:szCs w:val="24"/>
                <w:highlight w:val="none"/>
                <w:lang w:val="en-US" w:eastAsia="zh-CN"/>
              </w:rPr>
              <w:t>本项目将生物质</w:t>
            </w:r>
            <w:r>
              <w:rPr>
                <w:rFonts w:hint="eastAsia" w:ascii="Times New Roman" w:hAnsi="Times New Roman" w:cs="宋体"/>
                <w:caps w:val="0"/>
                <w:color w:val="000000"/>
                <w:spacing w:val="0"/>
                <w:sz w:val="24"/>
                <w:highlight w:val="none"/>
                <w:lang w:val="en-US" w:eastAsia="zh-CN"/>
              </w:rPr>
              <w:t>导热油炉</w:t>
            </w:r>
            <w:r>
              <w:rPr>
                <w:rFonts w:hint="eastAsia"/>
                <w:sz w:val="24"/>
                <w:szCs w:val="24"/>
                <w:highlight w:val="none"/>
                <w:lang w:val="en-US" w:eastAsia="zh-CN"/>
              </w:rPr>
              <w:t>燃烧器拆除安装燃油燃烧器，产生废旧的生物质燃烧器，废旧燃烧器为钢铁材质，燃烧器重量约1t/台，产生的废生物质燃烧器暂存于一般固废暂存区，由厂家回收处理。废燃烧器固废类比为SW17可再生类废物，废物代码为900-001-S17。</w:t>
            </w:r>
          </w:p>
          <w:p w14:paraId="759F62E9">
            <w:pPr>
              <w:spacing w:line="360" w:lineRule="auto"/>
              <w:ind w:right="72" w:rightChars="30"/>
              <w:jc w:val="left"/>
              <w:rPr>
                <w:rFonts w:hint="eastAsia" w:ascii="Times New Roman" w:hAnsi="Times New Roman" w:eastAsia="宋体" w:cs="宋体"/>
                <w:caps w:val="0"/>
                <w:color w:val="000000"/>
                <w:spacing w:val="0"/>
                <w:sz w:val="24"/>
                <w:highlight w:val="none"/>
              </w:rPr>
            </w:pPr>
            <w:r>
              <w:rPr>
                <w:rFonts w:hint="eastAsia" w:ascii="Times New Roman" w:hAnsi="Times New Roman" w:eastAsia="宋体" w:cs="宋体"/>
                <w:caps w:val="0"/>
                <w:color w:val="000000"/>
                <w:spacing w:val="0"/>
                <w:sz w:val="24"/>
                <w:highlight w:val="none"/>
              </w:rPr>
              <w:t>（</w:t>
            </w:r>
            <w:r>
              <w:rPr>
                <w:rFonts w:hint="eastAsia" w:ascii="Times New Roman" w:hAnsi="Times New Roman" w:cs="宋体"/>
                <w:caps w:val="0"/>
                <w:color w:val="000000"/>
                <w:spacing w:val="0"/>
                <w:sz w:val="24"/>
                <w:highlight w:val="none"/>
                <w:lang w:val="en-US" w:eastAsia="zh-CN"/>
              </w:rPr>
              <w:t>4</w:t>
            </w:r>
            <w:r>
              <w:rPr>
                <w:rFonts w:hint="eastAsia" w:ascii="Times New Roman" w:hAnsi="Times New Roman" w:eastAsia="宋体" w:cs="宋体"/>
                <w:caps w:val="0"/>
                <w:color w:val="000000"/>
                <w:spacing w:val="0"/>
                <w:sz w:val="24"/>
                <w:highlight w:val="none"/>
              </w:rPr>
              <w:t>）一般工业固体废物暂存要求</w:t>
            </w:r>
          </w:p>
          <w:p w14:paraId="043255D6">
            <w:pPr>
              <w:spacing w:line="360" w:lineRule="auto"/>
              <w:ind w:firstLine="480"/>
              <w:rPr>
                <w:rFonts w:hint="eastAsia" w:ascii="Times New Roman" w:hAnsi="Times New Roman" w:eastAsia="宋体" w:cs="宋体"/>
                <w:caps w:val="0"/>
                <w:color w:val="000000"/>
                <w:spacing w:val="0"/>
                <w:sz w:val="24"/>
                <w:highlight w:val="none"/>
              </w:rPr>
            </w:pPr>
            <w:r>
              <w:rPr>
                <w:rFonts w:hint="eastAsia" w:ascii="Times New Roman" w:hAnsi="Times New Roman" w:eastAsia="宋体" w:cs="宋体"/>
                <w:caps w:val="0"/>
                <w:color w:val="000000"/>
                <w:spacing w:val="0"/>
                <w:sz w:val="24"/>
                <w:highlight w:val="none"/>
              </w:rPr>
              <w:t>本项目一般工业固体废物区设置于</w:t>
            </w:r>
            <w:r>
              <w:rPr>
                <w:rFonts w:hint="eastAsia" w:ascii="Times New Roman" w:hAnsi="Times New Roman" w:eastAsia="宋体" w:cs="宋体"/>
                <w:caps w:val="0"/>
                <w:color w:val="000000"/>
                <w:spacing w:val="0"/>
                <w:sz w:val="24"/>
                <w:highlight w:val="none"/>
                <w:lang w:val="en-US" w:eastAsia="zh-CN"/>
              </w:rPr>
              <w:t>厂区</w:t>
            </w:r>
            <w:r>
              <w:rPr>
                <w:rFonts w:hint="eastAsia" w:ascii="Times New Roman" w:hAnsi="Times New Roman" w:cs="宋体"/>
                <w:caps w:val="0"/>
                <w:color w:val="000000"/>
                <w:spacing w:val="0"/>
                <w:sz w:val="24"/>
                <w:highlight w:val="none"/>
                <w:lang w:val="en-US" w:eastAsia="zh-CN"/>
              </w:rPr>
              <w:t>南</w:t>
            </w:r>
            <w:r>
              <w:rPr>
                <w:rFonts w:hint="eastAsia" w:ascii="Times New Roman" w:hAnsi="Times New Roman" w:eastAsia="宋体" w:cs="宋体"/>
                <w:caps w:val="0"/>
                <w:color w:val="000000"/>
                <w:spacing w:val="0"/>
                <w:sz w:val="24"/>
                <w:highlight w:val="none"/>
                <w:lang w:val="en-US" w:eastAsia="zh-CN"/>
              </w:rPr>
              <w:t>侧</w:t>
            </w:r>
            <w:r>
              <w:rPr>
                <w:rFonts w:hint="eastAsia" w:ascii="Times New Roman" w:hAnsi="Times New Roman" w:eastAsia="宋体" w:cs="宋体"/>
                <w:caps w:val="0"/>
                <w:color w:val="000000"/>
                <w:spacing w:val="0"/>
                <w:sz w:val="24"/>
                <w:highlight w:val="none"/>
              </w:rPr>
              <w:t>，面积约</w:t>
            </w:r>
            <w:r>
              <w:rPr>
                <w:rFonts w:hint="eastAsia" w:ascii="Times New Roman" w:hAnsi="Times New Roman" w:eastAsia="宋体" w:cs="宋体"/>
                <w:caps w:val="0"/>
                <w:color w:val="000000"/>
                <w:spacing w:val="0"/>
                <w:sz w:val="24"/>
                <w:highlight w:val="none"/>
                <w:lang w:val="en-US" w:eastAsia="zh-CN"/>
              </w:rPr>
              <w:t>10</w:t>
            </w:r>
            <w:r>
              <w:rPr>
                <w:rFonts w:hint="eastAsia" w:ascii="Times New Roman" w:hAnsi="Times New Roman" w:eastAsia="宋体" w:cs="宋体"/>
                <w:caps w:val="0"/>
                <w:color w:val="000000"/>
                <w:spacing w:val="0"/>
                <w:sz w:val="24"/>
                <w:highlight w:val="none"/>
              </w:rPr>
              <w:t>m</w:t>
            </w:r>
            <w:r>
              <w:rPr>
                <w:rFonts w:hint="eastAsia" w:ascii="Times New Roman" w:hAnsi="Times New Roman" w:eastAsia="宋体" w:cs="宋体"/>
                <w:caps w:val="0"/>
                <w:color w:val="000000"/>
                <w:spacing w:val="0"/>
                <w:sz w:val="24"/>
                <w:highlight w:val="none"/>
                <w:vertAlign w:val="superscript"/>
              </w:rPr>
              <w:t>2</w:t>
            </w:r>
            <w:r>
              <w:rPr>
                <w:rFonts w:hint="eastAsia" w:ascii="Times New Roman" w:hAnsi="Times New Roman" w:eastAsia="宋体" w:cs="宋体"/>
                <w:caps w:val="0"/>
                <w:color w:val="000000"/>
                <w:spacing w:val="0"/>
                <w:sz w:val="24"/>
                <w:highlight w:val="none"/>
                <w:lang w:eastAsia="zh-CN"/>
              </w:rPr>
              <w:t>，</w:t>
            </w:r>
            <w:r>
              <w:rPr>
                <w:rFonts w:hint="eastAsia" w:ascii="Times New Roman" w:hAnsi="Times New Roman" w:eastAsia="宋体" w:cs="宋体"/>
                <w:caps w:val="0"/>
                <w:color w:val="000000"/>
                <w:spacing w:val="0"/>
                <w:sz w:val="24"/>
                <w:highlight w:val="none"/>
              </w:rPr>
              <w:t>该暂存地面应进行硬化处理，满足防风、防雨、防渗等要求，并设有标识牌，不与生活垃圾混入，有固定的堆放场所；一般工业固体废物暂存场所应严格按照</w:t>
            </w:r>
            <w:r>
              <w:rPr>
                <w:rFonts w:hint="eastAsia" w:ascii="Times New Roman" w:hAnsi="Times New Roman" w:eastAsia="宋体" w:cs="宋体"/>
                <w:caps w:val="0"/>
                <w:color w:val="000000"/>
                <w:spacing w:val="0"/>
                <w:sz w:val="24"/>
                <w:highlight w:val="none"/>
              </w:rPr>
              <w:fldChar w:fldCharType="begin"/>
            </w:r>
            <w:r>
              <w:rPr>
                <w:rFonts w:hint="eastAsia" w:ascii="Times New Roman" w:hAnsi="Times New Roman" w:eastAsia="宋体" w:cs="宋体"/>
                <w:caps w:val="0"/>
                <w:color w:val="000000"/>
                <w:spacing w:val="0"/>
                <w:sz w:val="24"/>
                <w:highlight w:val="none"/>
              </w:rPr>
              <w:instrText xml:space="preserve"> HYPERLINK "https://www.mee.gov.cn/ywgz/fgbz/bz/bzwb/gthw/gtfwwrkzbz/202012/W020201218695845325455.pdf" </w:instrText>
            </w:r>
            <w:r>
              <w:rPr>
                <w:rFonts w:hint="eastAsia" w:ascii="Times New Roman" w:hAnsi="Times New Roman" w:eastAsia="宋体" w:cs="宋体"/>
                <w:caps w:val="0"/>
                <w:color w:val="000000"/>
                <w:spacing w:val="0"/>
                <w:sz w:val="24"/>
                <w:highlight w:val="none"/>
              </w:rPr>
              <w:fldChar w:fldCharType="separate"/>
            </w:r>
            <w:r>
              <w:rPr>
                <w:rFonts w:hint="eastAsia" w:ascii="Times New Roman" w:hAnsi="Times New Roman" w:eastAsia="宋体" w:cs="宋体"/>
                <w:caps w:val="0"/>
                <w:color w:val="000000"/>
                <w:spacing w:val="0"/>
                <w:sz w:val="24"/>
                <w:highlight w:val="none"/>
                <w:lang w:eastAsia="zh-CN"/>
              </w:rPr>
              <w:t>《</w:t>
            </w:r>
            <w:r>
              <w:rPr>
                <w:rFonts w:hint="eastAsia" w:ascii="Times New Roman" w:hAnsi="Times New Roman" w:eastAsia="宋体" w:cs="宋体"/>
                <w:caps w:val="0"/>
                <w:color w:val="000000"/>
                <w:spacing w:val="0"/>
                <w:sz w:val="24"/>
                <w:highlight w:val="none"/>
              </w:rPr>
              <w:t>一般工业固体废物贮存和填埋污染控制标准</w:t>
            </w:r>
            <w:r>
              <w:rPr>
                <w:rFonts w:hint="eastAsia" w:ascii="Times New Roman" w:hAnsi="Times New Roman" w:eastAsia="宋体" w:cs="宋体"/>
                <w:caps w:val="0"/>
                <w:color w:val="000000"/>
                <w:spacing w:val="0"/>
                <w:sz w:val="24"/>
                <w:highlight w:val="none"/>
                <w:lang w:eastAsia="zh-CN"/>
              </w:rPr>
              <w:t>》</w:t>
            </w:r>
            <w:r>
              <w:rPr>
                <w:rFonts w:hint="eastAsia" w:ascii="Times New Roman" w:hAnsi="Times New Roman" w:eastAsia="宋体" w:cs="宋体"/>
                <w:caps w:val="0"/>
                <w:color w:val="000000"/>
                <w:spacing w:val="0"/>
                <w:sz w:val="24"/>
                <w:highlight w:val="none"/>
              </w:rPr>
              <w:t>（GB18599-2020）</w:t>
            </w:r>
            <w:r>
              <w:rPr>
                <w:rFonts w:hint="eastAsia" w:ascii="Times New Roman" w:hAnsi="Times New Roman" w:eastAsia="宋体" w:cs="宋体"/>
                <w:caps w:val="0"/>
                <w:color w:val="000000"/>
                <w:spacing w:val="0"/>
                <w:sz w:val="24"/>
                <w:highlight w:val="none"/>
              </w:rPr>
              <w:fldChar w:fldCharType="end"/>
            </w:r>
            <w:r>
              <w:rPr>
                <w:rFonts w:hint="eastAsia" w:ascii="Times New Roman" w:hAnsi="Times New Roman" w:eastAsia="宋体" w:cs="宋体"/>
                <w:caps w:val="0"/>
                <w:color w:val="000000"/>
                <w:spacing w:val="0"/>
                <w:sz w:val="24"/>
                <w:highlight w:val="none"/>
              </w:rPr>
              <w:t>规定执行。</w:t>
            </w:r>
          </w:p>
          <w:p w14:paraId="37DCF2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aps w:val="0"/>
                <w:color w:val="auto"/>
                <w:spacing w:val="0"/>
                <w:sz w:val="24"/>
                <w:szCs w:val="24"/>
                <w:highlight w:val="none"/>
              </w:rPr>
            </w:pPr>
            <w:r>
              <w:rPr>
                <w:rFonts w:hint="eastAsia" w:ascii="Times New Roman" w:hAnsi="Times New Roman" w:eastAsia="宋体" w:cs="宋体"/>
                <w:caps w:val="0"/>
                <w:color w:val="000000"/>
                <w:spacing w:val="0"/>
                <w:sz w:val="24"/>
                <w:highlight w:val="none"/>
              </w:rPr>
              <w:t>公司应建立档案制度，应将入场的一般工业固体废物的种类和数量以及各种设施设备的检查维护资料，详细记录在案，长期保存，供随时查阅。</w:t>
            </w:r>
          </w:p>
          <w:p w14:paraId="5B1755B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aps w:val="0"/>
                <w:color w:val="auto"/>
                <w:spacing w:val="0"/>
                <w:sz w:val="24"/>
                <w:szCs w:val="24"/>
                <w:highlight w:val="none"/>
                <w:lang w:eastAsia="zh-CN"/>
              </w:rPr>
            </w:pPr>
            <w:r>
              <w:rPr>
                <w:rFonts w:hint="eastAsia" w:ascii="Times New Roman" w:hAnsi="Times New Roman" w:eastAsia="宋体" w:cs="宋体"/>
                <w:caps w:val="0"/>
                <w:color w:val="auto"/>
                <w:spacing w:val="0"/>
                <w:sz w:val="24"/>
                <w:szCs w:val="24"/>
                <w:highlight w:val="none"/>
              </w:rPr>
              <w:t>由上述分析可知，项目产生的固体废物得到有效的处理处置，对外环境影响较小</w:t>
            </w:r>
            <w:r>
              <w:rPr>
                <w:rFonts w:hint="eastAsia" w:ascii="Times New Roman" w:hAnsi="Times New Roman" w:eastAsia="宋体" w:cs="宋体"/>
                <w:caps w:val="0"/>
                <w:color w:val="auto"/>
                <w:spacing w:val="0"/>
                <w:sz w:val="24"/>
                <w:szCs w:val="24"/>
                <w:highlight w:val="none"/>
                <w:lang w:eastAsia="zh-CN"/>
              </w:rPr>
              <w:t>。</w:t>
            </w:r>
          </w:p>
          <w:p w14:paraId="0DD161A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Times New Roman" w:hAnsi="Times New Roman" w:eastAsia="宋体" w:cs="宋体"/>
                <w:b/>
                <w:bCs/>
                <w:caps w:val="0"/>
                <w:color w:val="000000" w:themeColor="text1"/>
                <w:kern w:val="0"/>
                <w:sz w:val="24"/>
                <w:highlight w:val="none"/>
                <w14:textFill>
                  <w14:solidFill>
                    <w14:schemeClr w14:val="tx1"/>
                  </w14:solidFill>
                </w14:textFill>
              </w:rPr>
            </w:pPr>
            <w:bookmarkStart w:id="14" w:name="_Toc29485"/>
            <w:bookmarkStart w:id="15" w:name="_Toc16907"/>
            <w:r>
              <w:rPr>
                <w:rFonts w:hint="eastAsia" w:ascii="Times New Roman" w:hAnsi="Times New Roman" w:eastAsia="宋体" w:cs="宋体"/>
                <w:b/>
                <w:bCs/>
                <w:caps w:val="0"/>
                <w:color w:val="000000" w:themeColor="text1"/>
                <w:kern w:val="0"/>
                <w:sz w:val="24"/>
                <w:highlight w:val="none"/>
                <w14:textFill>
                  <w14:solidFill>
                    <w14:schemeClr w14:val="tx1"/>
                  </w14:solidFill>
                </w14:textFill>
              </w:rPr>
              <w:t>4</w:t>
            </w:r>
            <w:r>
              <w:rPr>
                <w:rFonts w:hint="eastAsia" w:ascii="Times New Roman" w:hAnsi="Times New Roman" w:eastAsia="宋体" w:cs="宋体"/>
                <w:b/>
                <w:bCs/>
                <w:caps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宋体"/>
                <w:b/>
                <w:bCs/>
                <w:caps w:val="0"/>
                <w:color w:val="000000" w:themeColor="text1"/>
                <w:kern w:val="0"/>
                <w:sz w:val="24"/>
                <w:highlight w:val="none"/>
                <w14:textFill>
                  <w14:solidFill>
                    <w14:schemeClr w14:val="tx1"/>
                  </w14:solidFill>
                </w14:textFill>
              </w:rPr>
              <w:t>2危险废物环境影响分析</w:t>
            </w:r>
          </w:p>
          <w:p w14:paraId="6C54B9A1">
            <w:pPr>
              <w:adjustRightInd w:val="0"/>
              <w:snapToGrid w:val="0"/>
              <w:spacing w:line="360" w:lineRule="auto"/>
              <w:ind w:firstLine="480" w:firstLineChars="200"/>
              <w:rPr>
                <w:rFonts w:hint="eastAsia" w:ascii="Times New Roman" w:hAnsi="Times New Roman" w:eastAsia="宋体" w:cs="宋体"/>
                <w:caps w:val="0"/>
                <w:color w:val="000000" w:themeColor="text1"/>
                <w:kern w:val="0"/>
                <w:sz w:val="24"/>
                <w:highlight w:val="none"/>
                <w14:textFill>
                  <w14:solidFill>
                    <w14:schemeClr w14:val="tx1"/>
                  </w14:solidFill>
                </w14:textFill>
              </w:rPr>
            </w:pPr>
            <w:r>
              <w:rPr>
                <w:rFonts w:hint="eastAsia" w:ascii="Times New Roman" w:hAnsi="Times New Roman" w:eastAsia="宋体" w:cs="宋体"/>
                <w:caps w:val="0"/>
                <w:color w:val="000000" w:themeColor="text1"/>
                <w:kern w:val="0"/>
                <w:sz w:val="24"/>
                <w:highlight w:val="none"/>
                <w14:textFill>
                  <w14:solidFill>
                    <w14:schemeClr w14:val="tx1"/>
                  </w14:solidFill>
                </w14:textFill>
              </w:rPr>
              <w:t>4</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kern w:val="0"/>
                <w:sz w:val="24"/>
                <w:highlight w:val="none"/>
                <w14:textFill>
                  <w14:solidFill>
                    <w14:schemeClr w14:val="tx1"/>
                  </w14:solidFill>
                </w14:textFill>
              </w:rPr>
              <w:t>2</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kern w:val="0"/>
                <w:sz w:val="24"/>
                <w:highlight w:val="none"/>
                <w14:textFill>
                  <w14:solidFill>
                    <w14:schemeClr w14:val="tx1"/>
                  </w14:solidFill>
                </w14:textFill>
              </w:rPr>
              <w:t>1危险废物基本情况</w:t>
            </w:r>
          </w:p>
          <w:p w14:paraId="7AAC07A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宋体"/>
                <w:b/>
                <w:bCs/>
                <w:caps w:val="0"/>
                <w:color w:val="000000" w:themeColor="text1"/>
                <w:spacing w:val="6"/>
                <w:sz w:val="24"/>
                <w:szCs w:val="24"/>
                <w:highlight w:val="none"/>
                <w14:textFill>
                  <w14:solidFill>
                    <w14:schemeClr w14:val="tx1"/>
                  </w14:solidFill>
                </w14:textFill>
              </w:rPr>
            </w:pPr>
            <w:r>
              <w:rPr>
                <w:rFonts w:hint="eastAsia" w:ascii="Times New Roman" w:hAnsi="Times New Roman" w:eastAsia="宋体" w:cs="宋体"/>
                <w:caps w:val="0"/>
                <w:spacing w:val="0"/>
                <w:kern w:val="0"/>
                <w:sz w:val="24"/>
                <w:highlight w:val="none"/>
                <w:lang w:val="en-US" w:eastAsia="zh-CN"/>
              </w:rPr>
              <w:t>根据《</w:t>
            </w:r>
            <w:r>
              <w:rPr>
                <w:rFonts w:hint="eastAsia" w:ascii="Times New Roman" w:hAnsi="Times New Roman" w:eastAsia="宋体" w:cs="宋体"/>
                <w:caps w:val="0"/>
                <w:sz w:val="24"/>
                <w:szCs w:val="24"/>
                <w:highlight w:val="none"/>
              </w:rPr>
              <w:t>危险废物管理计划和管理台账制定技术导则</w:t>
            </w:r>
            <w:r>
              <w:rPr>
                <w:rFonts w:hint="eastAsia" w:ascii="Times New Roman" w:hAnsi="Times New Roman" w:eastAsia="宋体" w:cs="宋体"/>
                <w:caps w:val="0"/>
                <w:spacing w:val="0"/>
                <w:kern w:val="0"/>
                <w:sz w:val="24"/>
                <w:highlight w:val="none"/>
                <w:lang w:val="en-US" w:eastAsia="zh-CN"/>
              </w:rPr>
              <w:t>》（HJ1259-2022），本项目属于“</w:t>
            </w:r>
            <w:r>
              <w:rPr>
                <w:rFonts w:hint="eastAsia" w:ascii="Times New Roman" w:hAnsi="Times New Roman" w:eastAsia="宋体" w:cs="宋体"/>
                <w:caps w:val="0"/>
                <w:sz w:val="24"/>
                <w:szCs w:val="24"/>
                <w:highlight w:val="none"/>
              </w:rPr>
              <w:t>同一生产经营场所危险废物年产生量10t以下且未纳入危险废物环境重点监管单位的单位</w:t>
            </w:r>
            <w:r>
              <w:rPr>
                <w:rFonts w:hint="eastAsia" w:ascii="Times New Roman" w:hAnsi="Times New Roman" w:eastAsia="宋体" w:cs="宋体"/>
                <w:caps w:val="0"/>
                <w:spacing w:val="0"/>
                <w:kern w:val="0"/>
                <w:sz w:val="24"/>
                <w:highlight w:val="none"/>
                <w:lang w:val="en-US" w:eastAsia="zh-CN"/>
              </w:rPr>
              <w:t>”，应为</w:t>
            </w:r>
            <w:r>
              <w:rPr>
                <w:rFonts w:hint="eastAsia" w:ascii="Times New Roman" w:hAnsi="Times New Roman" w:eastAsia="宋体" w:cs="宋体"/>
                <w:caps w:val="0"/>
                <w:sz w:val="24"/>
                <w:szCs w:val="24"/>
                <w:highlight w:val="none"/>
              </w:rPr>
              <w:t>危险废物登记管理单位</w:t>
            </w:r>
            <w:r>
              <w:rPr>
                <w:rFonts w:hint="eastAsia" w:ascii="Times New Roman" w:hAnsi="Times New Roman" w:eastAsia="宋体" w:cs="宋体"/>
                <w:caps w:val="0"/>
                <w:sz w:val="24"/>
                <w:szCs w:val="24"/>
                <w:highlight w:val="none"/>
                <w:lang w:eastAsia="zh-CN"/>
              </w:rPr>
              <w:t>。</w:t>
            </w:r>
            <w:r>
              <w:rPr>
                <w:rFonts w:hint="eastAsia" w:ascii="Times New Roman" w:hAnsi="Times New Roman" w:eastAsia="宋体" w:cs="宋体"/>
                <w:caps w:val="0"/>
                <w:sz w:val="24"/>
                <w:szCs w:val="24"/>
                <w:highlight w:val="none"/>
                <w:lang w:val="en-US" w:eastAsia="zh-CN"/>
              </w:rPr>
              <w:t>根据《危险废物贮存污染控制标准》（GB18597-2023）中3.8贮存点：“HJ1259规定的纳入危险废物登记管理单位的，用于同一生产经营场所专门贮存危险废物的场所；或产生危险废物的单位设置于生产线附近，用于暂时贮存以便于中转其产生的危险废物的场所”。本项目应设置危险废物贮存点。</w:t>
            </w:r>
          </w:p>
          <w:p w14:paraId="0A990EC9">
            <w:pPr>
              <w:keepNext w:val="0"/>
              <w:keepLines w:val="0"/>
              <w:pageBreakBefore w:val="0"/>
              <w:widowControl w:val="0"/>
              <w:kinsoku/>
              <w:wordWrap/>
              <w:overflowPunct/>
              <w:topLinePunct w:val="0"/>
              <w:autoSpaceDE/>
              <w:autoSpaceDN/>
              <w:bidi w:val="0"/>
              <w:adjustRightInd/>
              <w:snapToGrid/>
              <w:spacing w:line="360" w:lineRule="auto"/>
              <w:ind w:firstLine="504" w:firstLineChars="200"/>
              <w:jc w:val="left"/>
              <w:textAlignment w:val="auto"/>
              <w:rPr>
                <w:rFonts w:hint="eastAsia" w:ascii="Times New Roman" w:hAnsi="Times New Roman" w:eastAsia="宋体" w:cs="宋体"/>
                <w:b w:val="0"/>
                <w:bCs w:val="0"/>
                <w:caps w:val="0"/>
                <w:color w:val="000000" w:themeColor="text1"/>
                <w:spacing w:val="6"/>
                <w:sz w:val="24"/>
                <w:szCs w:val="24"/>
                <w:highlight w:val="none"/>
                <w14:textFill>
                  <w14:solidFill>
                    <w14:schemeClr w14:val="tx1"/>
                  </w14:solidFill>
                </w14:textFill>
              </w:rPr>
            </w:pPr>
            <w:r>
              <w:rPr>
                <w:rFonts w:hint="eastAsia" w:ascii="Times New Roman" w:hAnsi="Times New Roman" w:eastAsia="宋体" w:cs="宋体"/>
                <w:b w:val="0"/>
                <w:bCs w:val="0"/>
                <w:caps w:val="0"/>
                <w:color w:val="000000" w:themeColor="text1"/>
                <w:spacing w:val="6"/>
                <w:sz w:val="24"/>
                <w:szCs w:val="24"/>
                <w:highlight w:val="none"/>
                <w:lang w:eastAsia="zh-CN"/>
                <w14:textFill>
                  <w14:solidFill>
                    <w14:schemeClr w14:val="tx1"/>
                  </w14:solidFill>
                </w14:textFill>
              </w:rPr>
              <w:t>危险废物贮存点</w:t>
            </w:r>
            <w:r>
              <w:rPr>
                <w:rFonts w:hint="eastAsia" w:ascii="Times New Roman" w:hAnsi="Times New Roman" w:eastAsia="宋体" w:cs="宋体"/>
                <w:b w:val="0"/>
                <w:bCs w:val="0"/>
                <w:caps w:val="0"/>
                <w:color w:val="000000" w:themeColor="text1"/>
                <w:spacing w:val="6"/>
                <w:sz w:val="24"/>
                <w:szCs w:val="24"/>
                <w:highlight w:val="none"/>
                <w14:textFill>
                  <w14:solidFill>
                    <w14:schemeClr w14:val="tx1"/>
                  </w14:solidFill>
                </w14:textFill>
              </w:rPr>
              <w:t>配备通讯设备、照明设施、安全防护服装及工具，并设有应急防护设施。</w:t>
            </w:r>
          </w:p>
          <w:p w14:paraId="6CE261D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pacing w:val="0"/>
                <w:sz w:val="24"/>
                <w:highlight w:val="none"/>
                <w:lang w:val="en-US" w:eastAsia="zh-CN"/>
              </w:rPr>
            </w:pPr>
            <w:r>
              <w:rPr>
                <w:rFonts w:hint="eastAsia" w:ascii="宋体" w:hAnsi="宋体" w:eastAsia="宋体" w:cs="宋体"/>
                <w:b w:val="0"/>
                <w:bCs w:val="0"/>
                <w:spacing w:val="0"/>
                <w:sz w:val="24"/>
                <w:highlight w:val="none"/>
                <w:lang w:val="en-US" w:eastAsia="zh-CN"/>
              </w:rPr>
              <w:t>危废贮存点位置地质结构稳定，地震烈度6度。建设位置地质平稳，不会出现断层、滑坡、泥石流等易发生地质灾害地段。建设地点附近无居民、医院、学校、水源保护地等环境敏感区域，与居民、医院、学校保持足够的安全距离。</w:t>
            </w:r>
          </w:p>
          <w:p w14:paraId="3DA200DB">
            <w:pPr>
              <w:tabs>
                <w:tab w:val="left" w:pos="3052"/>
              </w:tabs>
              <w:adjustRightInd w:val="0"/>
              <w:spacing w:line="360" w:lineRule="auto"/>
              <w:ind w:firstLine="480" w:firstLineChars="200"/>
              <w:rPr>
                <w:rFonts w:hint="eastAsia" w:ascii="Times New Roman" w:hAnsi="Times New Roman" w:eastAsia="宋体" w:cs="宋体"/>
                <w:b w:val="0"/>
                <w:bCs w:val="0"/>
                <w:caps w:val="0"/>
                <w:color w:val="000000" w:themeColor="text1"/>
                <w:spacing w:val="6"/>
                <w:sz w:val="24"/>
                <w:szCs w:val="24"/>
                <w:highlight w:val="none"/>
                <w:lang w:eastAsia="zh-CN"/>
                <w14:textFill>
                  <w14:solidFill>
                    <w14:schemeClr w14:val="tx1"/>
                  </w14:solidFill>
                </w14:textFill>
              </w:rPr>
            </w:pPr>
            <w:r>
              <w:rPr>
                <w:rFonts w:hint="eastAsia" w:ascii="宋体" w:hAnsi="宋体" w:eastAsia="宋体" w:cs="宋体"/>
                <w:b w:val="0"/>
                <w:bCs w:val="0"/>
                <w:spacing w:val="0"/>
                <w:sz w:val="24"/>
                <w:highlight w:val="none"/>
                <w:lang w:val="en-US" w:eastAsia="zh-CN"/>
              </w:rPr>
              <w:t>危废贮存点为独立密闭空间，具有良好密封性，可有效防止危险废物泄漏和挥发。危废贮存点为砖混建筑结构，建筑材料具备</w:t>
            </w:r>
            <w:r>
              <w:rPr>
                <w:rFonts w:hint="eastAsia" w:ascii="宋体" w:hAnsi="宋体" w:eastAsia="宋体" w:cs="宋体"/>
                <w:i w:val="0"/>
                <w:iCs w:val="0"/>
                <w:caps w:val="0"/>
                <w:spacing w:val="0"/>
                <w:sz w:val="24"/>
                <w:szCs w:val="24"/>
                <w:highlight w:val="none"/>
                <w:shd w:val="clear" w:fill="FFFFFF"/>
              </w:rPr>
              <w:t>防火、防爆、耐腐蚀、防渗等性能</w:t>
            </w:r>
            <w:r>
              <w:rPr>
                <w:rFonts w:hint="eastAsia" w:ascii="宋体" w:hAnsi="宋体" w:eastAsia="宋体" w:cs="宋体"/>
                <w:b w:val="0"/>
                <w:bCs w:val="0"/>
                <w:spacing w:val="0"/>
                <w:sz w:val="24"/>
                <w:highlight w:val="none"/>
              </w:rPr>
              <w:t>。</w:t>
            </w:r>
            <w:r>
              <w:rPr>
                <w:rFonts w:hint="eastAsia" w:ascii="宋体" w:hAnsi="宋体" w:eastAsia="宋体" w:cs="宋体"/>
                <w:b w:val="0"/>
                <w:bCs w:val="0"/>
                <w:spacing w:val="0"/>
                <w:sz w:val="24"/>
                <w:highlight w:val="none"/>
                <w:lang w:val="en-US" w:eastAsia="zh-CN"/>
              </w:rPr>
              <w:t>危废贮存点入口设置高围堰，防止发生泄漏液态污染物外流。</w:t>
            </w:r>
          </w:p>
          <w:p w14:paraId="730065BF">
            <w:pPr>
              <w:tabs>
                <w:tab w:val="left" w:pos="3052"/>
              </w:tabs>
              <w:adjustRightInd w:val="0"/>
              <w:spacing w:line="360" w:lineRule="auto"/>
              <w:ind w:firstLine="480" w:firstLineChars="200"/>
              <w:rPr>
                <w:rFonts w:hint="eastAsia" w:ascii="Times New Roman" w:hAnsi="Times New Roman" w:eastAsia="宋体" w:cs="宋体"/>
                <w:b w:val="0"/>
                <w:bCs w:val="0"/>
                <w:caps w:val="0"/>
                <w:color w:val="000000" w:themeColor="text1"/>
                <w:spacing w:val="6"/>
                <w:sz w:val="24"/>
                <w:szCs w:val="24"/>
                <w:highlight w:val="none"/>
                <w:lang w:eastAsia="zh-CN"/>
                <w14:textFill>
                  <w14:solidFill>
                    <w14:schemeClr w14:val="tx1"/>
                  </w14:solidFill>
                </w14:textFill>
              </w:rPr>
            </w:pPr>
            <w:r>
              <w:rPr>
                <w:rFonts w:hint="eastAsia" w:ascii="宋体" w:hAnsi="宋体" w:eastAsia="宋体" w:cs="宋体"/>
                <w:b w:val="0"/>
                <w:bCs w:val="0"/>
                <w:spacing w:val="0"/>
                <w:sz w:val="24"/>
                <w:szCs w:val="24"/>
                <w:highlight w:val="none"/>
                <w:lang w:eastAsia="zh-CN"/>
              </w:rPr>
              <w:t>防渗漏措施：除了地面和裙脚的防渗处理外，对于存放</w:t>
            </w:r>
            <w:r>
              <w:rPr>
                <w:rFonts w:hint="eastAsia" w:ascii="宋体" w:hAnsi="宋体" w:eastAsia="宋体" w:cs="宋体"/>
                <w:b w:val="0"/>
                <w:bCs w:val="0"/>
                <w:spacing w:val="0"/>
                <w:sz w:val="24"/>
                <w:szCs w:val="24"/>
                <w:highlight w:val="none"/>
                <w:lang w:val="en-US" w:eastAsia="zh-CN"/>
              </w:rPr>
              <w:t>废油液等</w:t>
            </w:r>
            <w:r>
              <w:rPr>
                <w:rFonts w:hint="eastAsia" w:ascii="宋体" w:hAnsi="宋体" w:eastAsia="宋体" w:cs="宋体"/>
                <w:b w:val="0"/>
                <w:bCs w:val="0"/>
                <w:spacing w:val="0"/>
                <w:sz w:val="24"/>
                <w:szCs w:val="24"/>
                <w:highlight w:val="none"/>
                <w:lang w:eastAsia="zh-CN"/>
              </w:rPr>
              <w:t>液态危险废物的贮存设施，还应设置泄漏液体收集装置，</w:t>
            </w:r>
            <w:r>
              <w:rPr>
                <w:rFonts w:hint="eastAsia" w:ascii="宋体" w:hAnsi="宋体" w:eastAsia="宋体" w:cs="宋体"/>
                <w:b w:val="0"/>
                <w:bCs w:val="0"/>
                <w:spacing w:val="0"/>
                <w:sz w:val="24"/>
                <w:szCs w:val="24"/>
                <w:highlight w:val="none"/>
                <w:lang w:val="en-US" w:eastAsia="zh-CN"/>
              </w:rPr>
              <w:t>设置</w:t>
            </w:r>
            <w:r>
              <w:rPr>
                <w:rFonts w:hint="eastAsia" w:ascii="宋体" w:hAnsi="宋体" w:eastAsia="宋体" w:cs="宋体"/>
                <w:b w:val="0"/>
                <w:bCs w:val="0"/>
                <w:spacing w:val="0"/>
                <w:sz w:val="24"/>
                <w:szCs w:val="24"/>
                <w:highlight w:val="none"/>
                <w:lang w:eastAsia="zh-CN"/>
              </w:rPr>
              <w:t>托盘、导流沟、收集池等，以便及时收集泄漏的液体，避免污染土壤和地下水。</w:t>
            </w:r>
          </w:p>
          <w:p w14:paraId="3CB1C0ED">
            <w:pPr>
              <w:tabs>
                <w:tab w:val="left" w:pos="3052"/>
              </w:tabs>
              <w:adjustRightInd w:val="0"/>
              <w:spacing w:line="360" w:lineRule="auto"/>
              <w:ind w:firstLine="504" w:firstLineChars="200"/>
              <w:rPr>
                <w:rFonts w:hint="default" w:ascii="Times New Roman" w:hAnsi="Times New Roman" w:eastAsia="宋体" w:cs="宋体"/>
                <w:b/>
                <w:caps w:val="0"/>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b w:val="0"/>
                <w:bCs w:val="0"/>
                <w:caps w:val="0"/>
                <w:color w:val="000000" w:themeColor="text1"/>
                <w:spacing w:val="6"/>
                <w:sz w:val="24"/>
                <w:szCs w:val="24"/>
                <w:highlight w:val="none"/>
                <w:lang w:eastAsia="zh-CN"/>
                <w14:textFill>
                  <w14:solidFill>
                    <w14:schemeClr w14:val="tx1"/>
                  </w14:solidFill>
                </w14:textFill>
              </w:rPr>
              <w:t>危险废物贮存点</w:t>
            </w:r>
            <w:r>
              <w:rPr>
                <w:rFonts w:hint="eastAsia" w:ascii="Times New Roman" w:hAnsi="Times New Roman" w:eastAsia="宋体" w:cs="宋体"/>
                <w:b w:val="0"/>
                <w:bCs w:val="0"/>
                <w:caps w:val="0"/>
                <w:color w:val="000000" w:themeColor="text1"/>
                <w:spacing w:val="6"/>
                <w:sz w:val="24"/>
                <w:szCs w:val="24"/>
                <w:highlight w:val="none"/>
                <w14:textFill>
                  <w14:solidFill>
                    <w14:schemeClr w14:val="tx1"/>
                  </w14:solidFill>
                </w14:textFill>
              </w:rPr>
              <w:t>地面及</w:t>
            </w:r>
            <w:r>
              <w:rPr>
                <w:rFonts w:hint="eastAsia" w:ascii="Times New Roman" w:hAnsi="Times New Roman" w:eastAsia="宋体" w:cs="宋体"/>
                <w:b w:val="0"/>
                <w:bCs w:val="0"/>
                <w:caps w:val="0"/>
                <w:color w:val="000000" w:themeColor="text1"/>
                <w:spacing w:val="6"/>
                <w:sz w:val="24"/>
                <w:szCs w:val="24"/>
                <w:highlight w:val="none"/>
                <w:lang w:eastAsia="zh-CN"/>
                <w14:textFill>
                  <w14:solidFill>
                    <w14:schemeClr w14:val="tx1"/>
                  </w14:solidFill>
                </w14:textFill>
              </w:rPr>
              <w:t>裙脚</w:t>
            </w:r>
            <w:r>
              <w:rPr>
                <w:rFonts w:hint="eastAsia" w:ascii="Times New Roman" w:hAnsi="Times New Roman" w:eastAsia="宋体" w:cs="宋体"/>
                <w:b w:val="0"/>
                <w:bCs w:val="0"/>
                <w:caps w:val="0"/>
                <w:color w:val="000000" w:themeColor="text1"/>
                <w:spacing w:val="6"/>
                <w:sz w:val="24"/>
                <w:szCs w:val="24"/>
                <w:highlight w:val="none"/>
                <w14:textFill>
                  <w14:solidFill>
                    <w14:schemeClr w14:val="tx1"/>
                  </w14:solidFill>
                </w14:textFill>
              </w:rPr>
              <w:t>基础底层至少采用2mm厚的高密度聚乙烯板，渗透系数≤10</w:t>
            </w:r>
            <w:r>
              <w:rPr>
                <w:rFonts w:hint="eastAsia" w:ascii="Times New Roman" w:hAnsi="Times New Roman" w:eastAsia="宋体" w:cs="宋体"/>
                <w:b w:val="0"/>
                <w:bCs w:val="0"/>
                <w:caps w:val="0"/>
                <w:color w:val="000000" w:themeColor="text1"/>
                <w:spacing w:val="6"/>
                <w:sz w:val="24"/>
                <w:szCs w:val="24"/>
                <w:highlight w:val="none"/>
                <w:vertAlign w:val="superscript"/>
                <w14:textFill>
                  <w14:solidFill>
                    <w14:schemeClr w14:val="tx1"/>
                  </w14:solidFill>
                </w14:textFill>
              </w:rPr>
              <w:t>-10</w:t>
            </w:r>
            <w:r>
              <w:rPr>
                <w:rFonts w:hint="eastAsia" w:ascii="Times New Roman" w:hAnsi="Times New Roman" w:eastAsia="宋体" w:cs="宋体"/>
                <w:b w:val="0"/>
                <w:bCs w:val="0"/>
                <w:caps w:val="0"/>
                <w:color w:val="000000" w:themeColor="text1"/>
                <w:spacing w:val="6"/>
                <w:sz w:val="24"/>
                <w:szCs w:val="24"/>
                <w:highlight w:val="none"/>
                <w14:textFill>
                  <w14:solidFill>
                    <w14:schemeClr w14:val="tx1"/>
                  </w14:solidFill>
                </w14:textFill>
              </w:rPr>
              <w:t>cm/s，上层采用混凝土结构并刷防水防渗漆，防止渗漏造成二次污染。</w:t>
            </w:r>
            <w:r>
              <w:rPr>
                <w:rFonts w:hint="eastAsia" w:ascii="Times New Roman" w:hAnsi="Times New Roman" w:eastAsia="宋体" w:cs="宋体"/>
                <w:b w:val="0"/>
                <w:bCs w:val="0"/>
                <w:caps w:val="0"/>
                <w:color w:val="000000" w:themeColor="text1"/>
                <w:spacing w:val="6"/>
                <w:sz w:val="24"/>
                <w:szCs w:val="24"/>
                <w:highlight w:val="none"/>
                <w:lang w:val="en-US" w:eastAsia="zh-CN"/>
                <w14:textFill>
                  <w14:solidFill>
                    <w14:schemeClr w14:val="tx1"/>
                  </w14:solidFill>
                </w14:textFill>
              </w:rPr>
              <w:t>产生的危险废物具体情况如下：</w:t>
            </w:r>
          </w:p>
          <w:p w14:paraId="0CFD7A0D">
            <w:pPr>
              <w:tabs>
                <w:tab w:val="left" w:pos="3052"/>
              </w:tabs>
              <w:adjustRightInd w:val="0"/>
              <w:spacing w:line="360" w:lineRule="auto"/>
              <w:ind w:firstLine="482" w:firstLineChars="200"/>
              <w:rPr>
                <w:rFonts w:hint="eastAsia" w:ascii="Times New Roman" w:hAnsi="Times New Roman" w:eastAsia="宋体" w:cs="宋体"/>
                <w:bCs/>
                <w:caps w:val="0"/>
                <w:color w:val="auto"/>
                <w:kern w:val="0"/>
                <w:sz w:val="24"/>
                <w:szCs w:val="24"/>
                <w:highlight w:val="none"/>
                <w:lang w:val="en-US" w:eastAsia="zh-CN" w:bidi="ar"/>
              </w:rPr>
            </w:pPr>
            <w:r>
              <w:rPr>
                <w:rFonts w:hint="eastAsia" w:ascii="Times New Roman" w:hAnsi="Times New Roman" w:eastAsia="宋体" w:cs="宋体"/>
                <w:b/>
                <w:caps w:val="0"/>
                <w:color w:val="000000" w:themeColor="text1"/>
                <w:sz w:val="24"/>
                <w:highlight w:val="none"/>
                <w:lang w:val="en-US" w:eastAsia="zh-CN"/>
                <w14:textFill>
                  <w14:solidFill>
                    <w14:schemeClr w14:val="tx1"/>
                  </w14:solidFill>
                </w14:textFill>
              </w:rPr>
              <w:t>危险废物</w:t>
            </w:r>
            <w:r>
              <w:rPr>
                <w:rFonts w:hint="eastAsia" w:ascii="Times New Roman" w:hAnsi="Times New Roman" w:eastAsia="宋体" w:cs="宋体"/>
                <w:b/>
                <w:caps w:val="0"/>
                <w:color w:val="000000" w:themeColor="text1"/>
                <w:sz w:val="24"/>
                <w:highlight w:val="none"/>
                <w14:textFill>
                  <w14:solidFill>
                    <w14:schemeClr w14:val="tx1"/>
                  </w14:solidFill>
                </w14:textFill>
              </w:rPr>
              <w:t>：</w:t>
            </w:r>
            <w:r>
              <w:rPr>
                <w:rFonts w:hint="eastAsia" w:ascii="Times New Roman" w:hAnsi="Times New Roman" w:cs="宋体"/>
                <w:caps w:val="0"/>
                <w:color w:val="000000"/>
                <w:spacing w:val="0"/>
                <w:sz w:val="24"/>
                <w:highlight w:val="none"/>
                <w:lang w:val="en-US" w:eastAsia="zh-CN"/>
              </w:rPr>
              <w:t>导热油炉</w:t>
            </w:r>
            <w:r>
              <w:rPr>
                <w:rFonts w:hint="eastAsia" w:ascii="Times New Roman" w:hAnsi="Times New Roman" w:eastAsia="宋体" w:cs="宋体"/>
                <w:bCs/>
                <w:caps w:val="0"/>
                <w:color w:val="auto"/>
                <w:kern w:val="0"/>
                <w:sz w:val="24"/>
                <w:szCs w:val="24"/>
                <w:highlight w:val="none"/>
                <w:lang w:val="en-US" w:eastAsia="zh-CN" w:bidi="ar"/>
              </w:rPr>
              <w:t>设备停工检修期间产生废机油、废机油桶、含油棉纱（手套、抹布），废机油危废类别</w:t>
            </w:r>
            <w:r>
              <w:rPr>
                <w:rFonts w:hint="default" w:ascii="Times New Roman" w:hAnsi="Times New Roman" w:eastAsia="宋体" w:cs="宋体"/>
                <w:bCs/>
                <w:caps w:val="0"/>
                <w:color w:val="auto"/>
                <w:kern w:val="0"/>
                <w:sz w:val="24"/>
                <w:szCs w:val="24"/>
                <w:highlight w:val="none"/>
                <w:lang w:val="en-US" w:eastAsia="zh-CN" w:bidi="ar"/>
              </w:rPr>
              <w:t>HW08</w:t>
            </w:r>
            <w:r>
              <w:rPr>
                <w:rFonts w:hint="eastAsia" w:ascii="Times New Roman" w:hAnsi="Times New Roman" w:eastAsia="宋体" w:cs="宋体"/>
                <w:bCs/>
                <w:caps w:val="0"/>
                <w:color w:val="auto"/>
                <w:kern w:val="0"/>
                <w:sz w:val="24"/>
                <w:szCs w:val="24"/>
                <w:highlight w:val="none"/>
                <w:lang w:val="en-US" w:eastAsia="zh-CN" w:bidi="ar"/>
              </w:rPr>
              <w:t>（废物代码</w:t>
            </w:r>
            <w:r>
              <w:rPr>
                <w:rFonts w:hint="default" w:ascii="Times New Roman" w:hAnsi="Times New Roman" w:eastAsia="宋体" w:cs="宋体"/>
                <w:bCs/>
                <w:caps w:val="0"/>
                <w:color w:val="auto"/>
                <w:kern w:val="0"/>
                <w:sz w:val="24"/>
                <w:szCs w:val="24"/>
                <w:highlight w:val="none"/>
                <w:lang w:val="en-US" w:eastAsia="zh-CN" w:bidi="ar"/>
              </w:rPr>
              <w:t>900-249-08</w:t>
            </w:r>
            <w:r>
              <w:rPr>
                <w:rFonts w:hint="eastAsia" w:ascii="Times New Roman" w:hAnsi="Times New Roman" w:eastAsia="宋体" w:cs="宋体"/>
                <w:bCs/>
                <w:caps w:val="0"/>
                <w:color w:val="auto"/>
                <w:kern w:val="0"/>
                <w:sz w:val="24"/>
                <w:szCs w:val="24"/>
                <w:highlight w:val="none"/>
                <w:lang w:val="en-US" w:eastAsia="zh-CN" w:bidi="ar"/>
              </w:rPr>
              <w:t>），废机油桶危废类别HW49（废物代码</w:t>
            </w:r>
            <w:r>
              <w:rPr>
                <w:rFonts w:hint="default" w:ascii="Times New Roman" w:hAnsi="Times New Roman" w:eastAsia="宋体" w:cs="宋体"/>
                <w:bCs/>
                <w:caps w:val="0"/>
                <w:color w:val="auto"/>
                <w:kern w:val="0"/>
                <w:sz w:val="24"/>
                <w:szCs w:val="24"/>
                <w:highlight w:val="none"/>
                <w:lang w:val="en-US" w:eastAsia="zh-CN" w:bidi="ar"/>
              </w:rPr>
              <w:t>900-041-49</w:t>
            </w:r>
            <w:r>
              <w:rPr>
                <w:rFonts w:hint="eastAsia" w:ascii="Times New Roman" w:hAnsi="Times New Roman" w:eastAsia="宋体" w:cs="宋体"/>
                <w:bCs/>
                <w:caps w:val="0"/>
                <w:color w:val="auto"/>
                <w:kern w:val="0"/>
                <w:sz w:val="24"/>
                <w:szCs w:val="24"/>
                <w:highlight w:val="none"/>
                <w:lang w:val="en-US" w:eastAsia="zh-CN" w:bidi="ar"/>
              </w:rPr>
              <w:t>），含油棉纱（手套、抹布）危废类别</w:t>
            </w:r>
            <w:r>
              <w:rPr>
                <w:rFonts w:hint="default" w:ascii="Times New Roman" w:hAnsi="Times New Roman" w:eastAsia="宋体" w:cs="宋体"/>
                <w:bCs/>
                <w:caps w:val="0"/>
                <w:color w:val="auto"/>
                <w:kern w:val="0"/>
                <w:sz w:val="24"/>
                <w:szCs w:val="24"/>
                <w:highlight w:val="none"/>
                <w:lang w:val="en-US" w:eastAsia="zh-CN" w:bidi="ar"/>
              </w:rPr>
              <w:t>HW49（废物代码900-041-49</w:t>
            </w:r>
            <w:r>
              <w:rPr>
                <w:rFonts w:hint="eastAsia" w:ascii="Times New Roman" w:hAnsi="Times New Roman" w:eastAsia="宋体" w:cs="宋体"/>
                <w:bCs/>
                <w:caps w:val="0"/>
                <w:color w:val="auto"/>
                <w:kern w:val="0"/>
                <w:sz w:val="24"/>
                <w:szCs w:val="24"/>
                <w:highlight w:val="none"/>
                <w:lang w:val="en-US" w:eastAsia="zh-CN" w:bidi="ar"/>
              </w:rPr>
              <w:t>）。</w:t>
            </w:r>
          </w:p>
          <w:p w14:paraId="17EE81D1">
            <w:pPr>
              <w:pStyle w:val="19"/>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eastAsia" w:ascii="Times New Roman" w:hAnsi="Times New Roman" w:eastAsia="宋体" w:cs="宋体"/>
                <w:caps w:val="0"/>
                <w:highlight w:val="none"/>
              </w:rPr>
            </w:pPr>
            <w:r>
              <w:rPr>
                <w:rFonts w:hint="eastAsia" w:ascii="Times New Roman" w:hAnsi="Times New Roman" w:eastAsia="宋体" w:cs="宋体"/>
                <w:caps w:val="0"/>
                <w:color w:val="auto"/>
                <w:sz w:val="24"/>
                <w:szCs w:val="22"/>
                <w:highlight w:val="none"/>
                <w:lang w:val="en-US" w:eastAsia="zh-CN"/>
              </w:rPr>
              <w:t>废导热油：</w:t>
            </w:r>
            <w:r>
              <w:rPr>
                <w:rFonts w:hint="default" w:ascii="Times New Roman" w:hAnsi="Times New Roman" w:eastAsia="宋体" w:cs="宋体"/>
                <w:caps w:val="0"/>
                <w:color w:val="auto"/>
                <w:sz w:val="24"/>
                <w:szCs w:val="22"/>
                <w:highlight w:val="none"/>
                <w:lang w:val="en-US" w:eastAsia="zh-CN"/>
              </w:rPr>
              <w:t>本项目导热油炉更换下来的废导热油（类别：HW08废矿物油与含矿物油废物；</w:t>
            </w:r>
            <w:r>
              <w:rPr>
                <w:rFonts w:hint="eastAsia" w:ascii="Times New Roman" w:hAnsi="Times New Roman" w:eastAsia="宋体" w:cs="宋体"/>
                <w:caps w:val="0"/>
                <w:color w:val="auto"/>
                <w:sz w:val="24"/>
                <w:szCs w:val="22"/>
                <w:highlight w:val="none"/>
                <w:lang w:val="en-US" w:eastAsia="zh-CN"/>
              </w:rPr>
              <w:t>废物</w:t>
            </w:r>
            <w:r>
              <w:rPr>
                <w:rFonts w:hint="default" w:ascii="Times New Roman" w:hAnsi="Times New Roman" w:eastAsia="宋体" w:cs="宋体"/>
                <w:caps w:val="0"/>
                <w:color w:val="auto"/>
                <w:sz w:val="24"/>
                <w:szCs w:val="22"/>
                <w:highlight w:val="none"/>
                <w:lang w:val="en-US" w:eastAsia="zh-CN"/>
              </w:rPr>
              <w:t>代码：900-249-08）属于《国家危险废物名录》中危险废物，导热油每5年更换一次，废导热油量为</w:t>
            </w:r>
            <w:r>
              <w:rPr>
                <w:rFonts w:hint="eastAsia" w:ascii="Times New Roman" w:hAnsi="Times New Roman" w:cs="宋体"/>
                <w:caps w:val="0"/>
                <w:color w:val="auto"/>
                <w:sz w:val="24"/>
                <w:szCs w:val="22"/>
                <w:highlight w:val="none"/>
                <w:lang w:val="en-US" w:eastAsia="zh-CN"/>
              </w:rPr>
              <w:t>5</w:t>
            </w:r>
            <w:r>
              <w:rPr>
                <w:rFonts w:hint="default" w:ascii="Times New Roman" w:hAnsi="Times New Roman" w:eastAsia="宋体" w:cs="宋体"/>
                <w:caps w:val="0"/>
                <w:color w:val="auto"/>
                <w:sz w:val="24"/>
                <w:szCs w:val="22"/>
                <w:highlight w:val="none"/>
                <w:lang w:val="en-US" w:eastAsia="zh-CN"/>
              </w:rPr>
              <w:t>t/5a</w:t>
            </w:r>
            <w:r>
              <w:rPr>
                <w:rFonts w:hint="eastAsia" w:ascii="Times New Roman" w:hAnsi="Times New Roman" w:eastAsia="宋体" w:cs="宋体"/>
                <w:caps w:val="0"/>
                <w:color w:val="auto"/>
                <w:sz w:val="24"/>
                <w:szCs w:val="22"/>
                <w:highlight w:val="none"/>
                <w:lang w:val="en-US" w:eastAsia="zh-CN"/>
              </w:rPr>
              <w:t>。</w:t>
            </w:r>
            <w:r>
              <w:rPr>
                <w:rFonts w:hint="default" w:ascii="Times New Roman" w:hAnsi="Times New Roman" w:eastAsia="宋体" w:cs="宋体"/>
                <w:caps w:val="0"/>
                <w:color w:val="auto"/>
                <w:sz w:val="24"/>
                <w:szCs w:val="22"/>
                <w:highlight w:val="none"/>
                <w:lang w:val="en-US" w:eastAsia="zh-CN"/>
              </w:rPr>
              <w:t>暂存</w:t>
            </w:r>
            <w:r>
              <w:rPr>
                <w:rFonts w:hint="eastAsia" w:ascii="Times New Roman" w:hAnsi="Times New Roman" w:eastAsia="宋体" w:cs="宋体"/>
                <w:caps w:val="0"/>
                <w:color w:val="auto"/>
                <w:sz w:val="24"/>
                <w:szCs w:val="22"/>
                <w:highlight w:val="none"/>
                <w:lang w:val="en-US" w:eastAsia="zh-CN"/>
              </w:rPr>
              <w:t>危废贮存点</w:t>
            </w:r>
            <w:r>
              <w:rPr>
                <w:rFonts w:hint="default" w:ascii="Times New Roman" w:hAnsi="Times New Roman" w:eastAsia="宋体" w:cs="宋体"/>
                <w:caps w:val="0"/>
                <w:color w:val="auto"/>
                <w:sz w:val="24"/>
                <w:szCs w:val="22"/>
                <w:highlight w:val="none"/>
                <w:lang w:val="en-US" w:eastAsia="zh-CN"/>
              </w:rPr>
              <w:t>，</w:t>
            </w:r>
            <w:r>
              <w:rPr>
                <w:rFonts w:hint="eastAsia" w:ascii="Times New Roman" w:hAnsi="Times New Roman" w:cs="宋体"/>
                <w:caps w:val="0"/>
                <w:color w:val="auto"/>
                <w:sz w:val="24"/>
                <w:szCs w:val="22"/>
                <w:highlight w:val="none"/>
                <w:lang w:val="en-US" w:eastAsia="zh-CN"/>
              </w:rPr>
              <w:t>采用200L铁桶贮存，危废贮存点主贮存能力满足储存需求。</w:t>
            </w:r>
            <w:r>
              <w:rPr>
                <w:rFonts w:hint="default" w:ascii="Times New Roman" w:hAnsi="Times New Roman" w:eastAsia="宋体" w:cs="宋体"/>
                <w:caps w:val="0"/>
                <w:color w:val="auto"/>
                <w:sz w:val="24"/>
                <w:szCs w:val="22"/>
                <w:highlight w:val="none"/>
                <w:lang w:val="en-US" w:eastAsia="zh-CN"/>
              </w:rPr>
              <w:t>定期</w:t>
            </w:r>
            <w:r>
              <w:rPr>
                <w:rFonts w:hint="eastAsia" w:ascii="Times New Roman" w:hAnsi="Times New Roman" w:eastAsia="宋体" w:cs="宋体"/>
                <w:caps w:val="0"/>
                <w:color w:val="auto"/>
                <w:sz w:val="24"/>
                <w:szCs w:val="22"/>
                <w:highlight w:val="none"/>
                <w:lang w:val="en-US" w:eastAsia="zh-CN"/>
              </w:rPr>
              <w:t>交</w:t>
            </w:r>
            <w:r>
              <w:rPr>
                <w:rFonts w:hint="default" w:ascii="Times New Roman" w:hAnsi="Times New Roman" w:eastAsia="宋体" w:cs="宋体"/>
                <w:caps w:val="0"/>
                <w:color w:val="auto"/>
                <w:sz w:val="24"/>
                <w:szCs w:val="22"/>
                <w:highlight w:val="none"/>
                <w:lang w:val="en-US" w:eastAsia="zh-CN"/>
              </w:rPr>
              <w:t>有资质单位处置</w:t>
            </w:r>
            <w:r>
              <w:rPr>
                <w:rFonts w:hint="eastAsia" w:ascii="Times New Roman" w:hAnsi="Times New Roman" w:eastAsia="宋体" w:cs="宋体"/>
                <w:caps w:val="0"/>
                <w:color w:val="auto"/>
                <w:sz w:val="24"/>
                <w:szCs w:val="22"/>
                <w:highlight w:val="none"/>
                <w:lang w:val="en-US" w:eastAsia="zh-CN"/>
              </w:rPr>
              <w:t>。</w:t>
            </w:r>
          </w:p>
          <w:p w14:paraId="05EABA53">
            <w:pPr>
              <w:spacing w:line="360" w:lineRule="auto"/>
              <w:ind w:firstLine="480" w:firstLineChars="200"/>
              <w:rPr>
                <w:rFonts w:ascii="Times New Roman" w:hAnsi="Times New Roman" w:eastAsia="宋体" w:cs="宋体"/>
                <w:caps w:val="0"/>
                <w:color w:val="000000" w:themeColor="text1"/>
                <w:sz w:val="24"/>
                <w:szCs w:val="24"/>
                <w:highlight w:val="none"/>
                <w14:textFill>
                  <w14:solidFill>
                    <w14:schemeClr w14:val="tx1"/>
                  </w14:solidFill>
                </w14:textFill>
              </w:rPr>
            </w:pPr>
            <w:r>
              <w:rPr>
                <w:rFonts w:hint="eastAsia" w:ascii="Times New Roman" w:hAnsi="Times New Roman" w:eastAsia="宋体" w:cs="宋体"/>
                <w:caps w:val="0"/>
                <w:color w:val="000000" w:themeColor="text1"/>
                <w:sz w:val="24"/>
                <w:szCs w:val="24"/>
                <w:highlight w:val="none"/>
                <w14:textFill>
                  <w14:solidFill>
                    <w14:schemeClr w14:val="tx1"/>
                  </w14:solidFill>
                </w14:textFill>
              </w:rPr>
              <w:t>本项目</w:t>
            </w: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危废贮存点</w:t>
            </w:r>
            <w:r>
              <w:rPr>
                <w:rFonts w:hint="eastAsia" w:ascii="Times New Roman" w:hAnsi="Times New Roman" w:eastAsia="宋体" w:cs="宋体"/>
                <w:caps w:val="0"/>
                <w:color w:val="000000" w:themeColor="text1"/>
                <w:sz w:val="24"/>
                <w:szCs w:val="24"/>
                <w:highlight w:val="none"/>
                <w14:textFill>
                  <w14:solidFill>
                    <w14:schemeClr w14:val="tx1"/>
                  </w14:solidFill>
                </w14:textFill>
              </w:rPr>
              <w:t>设置情况见表4-</w:t>
            </w: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1</w:t>
            </w:r>
            <w:r>
              <w:rPr>
                <w:rFonts w:hint="eastAsia" w:ascii="Times New Roman" w:hAnsi="Times New Roman" w:cs="宋体"/>
                <w:caps w:val="0"/>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宋体"/>
                <w:caps w:val="0"/>
                <w:color w:val="000000" w:themeColor="text1"/>
                <w:sz w:val="24"/>
                <w:szCs w:val="24"/>
                <w:highlight w:val="none"/>
                <w14:textFill>
                  <w14:solidFill>
                    <w14:schemeClr w14:val="tx1"/>
                  </w14:solidFill>
                </w14:textFill>
              </w:rPr>
              <w:t>。</w:t>
            </w:r>
          </w:p>
          <w:p w14:paraId="7BB460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宋体"/>
                <w:b/>
                <w:bCs/>
                <w:caps w:val="0"/>
                <w:color w:val="000000" w:themeColor="text1"/>
                <w:sz w:val="24"/>
                <w:szCs w:val="24"/>
                <w:highlight w:val="none"/>
                <w14:textFill>
                  <w14:solidFill>
                    <w14:schemeClr w14:val="tx1"/>
                  </w14:solidFill>
                </w14:textFill>
              </w:rPr>
            </w:pPr>
            <w:r>
              <w:rPr>
                <w:rFonts w:hint="eastAsia" w:ascii="Times New Roman" w:hAnsi="Times New Roman" w:eastAsia="宋体" w:cs="宋体"/>
                <w:b/>
                <w:bCs/>
                <w:caps w:val="0"/>
                <w:color w:val="000000" w:themeColor="text1"/>
                <w:sz w:val="24"/>
                <w:szCs w:val="24"/>
                <w:highlight w:val="none"/>
                <w14:textFill>
                  <w14:solidFill>
                    <w14:schemeClr w14:val="tx1"/>
                  </w14:solidFill>
                </w14:textFill>
              </w:rPr>
              <w:t>表4-1</w:t>
            </w:r>
            <w:r>
              <w:rPr>
                <w:rFonts w:hint="eastAsia" w:ascii="Times New Roman" w:hAnsi="Times New Roman" w:cs="宋体"/>
                <w:b/>
                <w:bCs/>
                <w:caps w:val="0"/>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宋体"/>
                <w:b/>
                <w:bCs/>
                <w:caps w:val="0"/>
                <w:color w:val="000000" w:themeColor="text1"/>
                <w:sz w:val="24"/>
                <w:szCs w:val="24"/>
                <w:highlight w:val="none"/>
                <w14:textFill>
                  <w14:solidFill>
                    <w14:schemeClr w14:val="tx1"/>
                  </w14:solidFill>
                </w14:textFill>
              </w:rPr>
              <w:t xml:space="preserve"> 危险废物贮存场所（设施）基本情况样表</w:t>
            </w:r>
          </w:p>
          <w:tbl>
            <w:tblPr>
              <w:tblStyle w:val="35"/>
              <w:tblW w:w="786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23"/>
              <w:gridCol w:w="1223"/>
              <w:gridCol w:w="1110"/>
              <w:gridCol w:w="795"/>
              <w:gridCol w:w="1290"/>
              <w:gridCol w:w="1031"/>
              <w:gridCol w:w="654"/>
              <w:gridCol w:w="719"/>
              <w:gridCol w:w="621"/>
            </w:tblGrid>
            <w:tr w14:paraId="4871F4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41" w:hRule="atLeast"/>
                <w:jc w:val="center"/>
              </w:trPr>
              <w:tc>
                <w:tcPr>
                  <w:tcW w:w="423" w:type="dxa"/>
                  <w:tcBorders>
                    <w:tl2br w:val="nil"/>
                    <w:tr2bl w:val="nil"/>
                  </w:tcBorders>
                  <w:noWrap w:val="0"/>
                  <w:vAlign w:val="center"/>
                </w:tcPr>
                <w:p w14:paraId="0E8CF35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序号</w:t>
                  </w:r>
                </w:p>
              </w:tc>
              <w:tc>
                <w:tcPr>
                  <w:tcW w:w="1223" w:type="dxa"/>
                  <w:tcBorders>
                    <w:tl2br w:val="nil"/>
                    <w:tr2bl w:val="nil"/>
                  </w:tcBorders>
                  <w:noWrap w:val="0"/>
                  <w:vAlign w:val="center"/>
                </w:tcPr>
                <w:p w14:paraId="4B95025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贮存场所（设施）名称</w:t>
                  </w:r>
                </w:p>
              </w:tc>
              <w:tc>
                <w:tcPr>
                  <w:tcW w:w="1110" w:type="dxa"/>
                  <w:tcBorders>
                    <w:tl2br w:val="nil"/>
                    <w:tr2bl w:val="nil"/>
                  </w:tcBorders>
                  <w:noWrap w:val="0"/>
                  <w:vAlign w:val="center"/>
                </w:tcPr>
                <w:p w14:paraId="2AC7D0A3">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危险废物名称</w:t>
                  </w:r>
                </w:p>
              </w:tc>
              <w:tc>
                <w:tcPr>
                  <w:tcW w:w="795" w:type="dxa"/>
                  <w:tcBorders>
                    <w:tl2br w:val="nil"/>
                    <w:tr2bl w:val="nil"/>
                  </w:tcBorders>
                  <w:noWrap w:val="0"/>
                  <w:vAlign w:val="center"/>
                </w:tcPr>
                <w:p w14:paraId="438A42B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危险废物类别</w:t>
                  </w:r>
                </w:p>
              </w:tc>
              <w:tc>
                <w:tcPr>
                  <w:tcW w:w="1290" w:type="dxa"/>
                  <w:tcBorders>
                    <w:tl2br w:val="nil"/>
                    <w:tr2bl w:val="nil"/>
                  </w:tcBorders>
                  <w:noWrap w:val="0"/>
                  <w:vAlign w:val="center"/>
                </w:tcPr>
                <w:p w14:paraId="345A844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危险废物</w:t>
                  </w:r>
                </w:p>
                <w:p w14:paraId="69310CE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代码</w:t>
                  </w:r>
                </w:p>
              </w:tc>
              <w:tc>
                <w:tcPr>
                  <w:tcW w:w="1031" w:type="dxa"/>
                  <w:tcBorders>
                    <w:tl2br w:val="nil"/>
                    <w:tr2bl w:val="nil"/>
                  </w:tcBorders>
                  <w:noWrap w:val="0"/>
                  <w:vAlign w:val="center"/>
                </w:tcPr>
                <w:p w14:paraId="65E31CC2">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位置</w:t>
                  </w:r>
                </w:p>
              </w:tc>
              <w:tc>
                <w:tcPr>
                  <w:tcW w:w="654" w:type="dxa"/>
                  <w:tcBorders>
                    <w:tl2br w:val="nil"/>
                    <w:tr2bl w:val="nil"/>
                  </w:tcBorders>
                  <w:noWrap w:val="0"/>
                  <w:vAlign w:val="center"/>
                </w:tcPr>
                <w:p w14:paraId="3E29C3D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占地</w:t>
                  </w:r>
                </w:p>
                <w:p w14:paraId="440B370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面积</w:t>
                  </w:r>
                </w:p>
              </w:tc>
              <w:tc>
                <w:tcPr>
                  <w:tcW w:w="719" w:type="dxa"/>
                  <w:tcBorders>
                    <w:tl2br w:val="nil"/>
                    <w:tr2bl w:val="nil"/>
                  </w:tcBorders>
                  <w:noWrap w:val="0"/>
                  <w:vAlign w:val="center"/>
                </w:tcPr>
                <w:p w14:paraId="48872C8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贮存</w:t>
                  </w:r>
                </w:p>
                <w:p w14:paraId="7000F507">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方式</w:t>
                  </w:r>
                </w:p>
              </w:tc>
              <w:tc>
                <w:tcPr>
                  <w:tcW w:w="621" w:type="dxa"/>
                  <w:tcBorders>
                    <w:tl2br w:val="nil"/>
                    <w:tr2bl w:val="nil"/>
                  </w:tcBorders>
                  <w:noWrap w:val="0"/>
                  <w:vAlign w:val="center"/>
                </w:tcPr>
                <w:p w14:paraId="72BDDB17">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hint="eastAsia" w:ascii="Times New Roman" w:hAnsi="Times New Roman" w:eastAsia="宋体" w:cs="宋体"/>
                      <w:b/>
                      <w:caps w:val="0"/>
                      <w:color w:val="000000" w:themeColor="text1"/>
                      <w:kern w:val="0"/>
                      <w:sz w:val="21"/>
                      <w:szCs w:val="21"/>
                      <w:highlight w:val="none"/>
                      <w14:textFill>
                        <w14:solidFill>
                          <w14:schemeClr w14:val="tx1"/>
                        </w14:solidFill>
                      </w14:textFill>
                    </w:rPr>
                    <w:t>贮</w:t>
                  </w:r>
                  <w:r>
                    <w:rPr>
                      <w:rFonts w:ascii="Times New Roman" w:hAnsi="Times New Roman" w:eastAsia="宋体" w:cs="宋体"/>
                      <w:b/>
                      <w:caps w:val="0"/>
                      <w:color w:val="000000" w:themeColor="text1"/>
                      <w:kern w:val="0"/>
                      <w:sz w:val="21"/>
                      <w:szCs w:val="21"/>
                      <w:highlight w:val="none"/>
                      <w14:textFill>
                        <w14:solidFill>
                          <w14:schemeClr w14:val="tx1"/>
                        </w14:solidFill>
                      </w14:textFill>
                    </w:rPr>
                    <w:t>存</w:t>
                  </w:r>
                </w:p>
                <w:p w14:paraId="68C4EEB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000000" w:themeColor="text1"/>
                      <w:kern w:val="0"/>
                      <w:sz w:val="21"/>
                      <w:szCs w:val="21"/>
                      <w:highlight w:val="none"/>
                      <w14:textFill>
                        <w14:solidFill>
                          <w14:schemeClr w14:val="tx1"/>
                        </w14:solidFill>
                      </w14:textFill>
                    </w:rPr>
                  </w:pPr>
                  <w:r>
                    <w:rPr>
                      <w:rFonts w:ascii="Times New Roman" w:hAnsi="Times New Roman" w:eastAsia="宋体" w:cs="宋体"/>
                      <w:b/>
                      <w:caps w:val="0"/>
                      <w:color w:val="000000" w:themeColor="text1"/>
                      <w:kern w:val="0"/>
                      <w:sz w:val="21"/>
                      <w:szCs w:val="21"/>
                      <w:highlight w:val="none"/>
                      <w14:textFill>
                        <w14:solidFill>
                          <w14:schemeClr w14:val="tx1"/>
                        </w14:solidFill>
                      </w14:textFill>
                    </w:rPr>
                    <w:t>能力</w:t>
                  </w:r>
                </w:p>
              </w:tc>
            </w:tr>
            <w:tr w14:paraId="156D92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423" w:type="dxa"/>
                  <w:tcBorders>
                    <w:tl2br w:val="nil"/>
                    <w:tr2bl w:val="nil"/>
                  </w:tcBorders>
                  <w:noWrap w:val="0"/>
                  <w:vAlign w:val="center"/>
                </w:tcPr>
                <w:p w14:paraId="63CB3625">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1</w:t>
                  </w:r>
                </w:p>
              </w:tc>
              <w:tc>
                <w:tcPr>
                  <w:tcW w:w="1223" w:type="dxa"/>
                  <w:vMerge w:val="restart"/>
                  <w:tcBorders>
                    <w:tl2br w:val="nil"/>
                    <w:tr2bl w:val="nil"/>
                  </w:tcBorders>
                  <w:noWrap w:val="0"/>
                  <w:vAlign w:val="center"/>
                </w:tcPr>
                <w:p w14:paraId="1BA776F0">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000000" w:themeColor="text1"/>
                      <w:sz w:val="21"/>
                      <w:szCs w:val="21"/>
                      <w:highlight w:val="none"/>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eastAsia="zh-CN"/>
                      <w14:textFill>
                        <w14:solidFill>
                          <w14:schemeClr w14:val="tx1"/>
                        </w14:solidFill>
                      </w14:textFill>
                    </w:rPr>
                    <w:t>危废贮存</w:t>
                  </w: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点</w:t>
                  </w:r>
                </w:p>
              </w:tc>
              <w:tc>
                <w:tcPr>
                  <w:tcW w:w="1110" w:type="dxa"/>
                  <w:tcBorders>
                    <w:tl2br w:val="nil"/>
                    <w:tr2bl w:val="nil"/>
                  </w:tcBorders>
                  <w:noWrap w:val="0"/>
                  <w:vAlign w:val="center"/>
                </w:tcPr>
                <w:p w14:paraId="29D3F48A">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废机油</w:t>
                  </w:r>
                </w:p>
              </w:tc>
              <w:tc>
                <w:tcPr>
                  <w:tcW w:w="795" w:type="dxa"/>
                  <w:tcBorders>
                    <w:tl2br w:val="nil"/>
                    <w:tr2bl w:val="nil"/>
                  </w:tcBorders>
                  <w:noWrap w:val="0"/>
                  <w:vAlign w:val="center"/>
                </w:tcPr>
                <w:p w14:paraId="676966CC">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ascii="Times New Roman" w:hAnsi="Times New Roman" w:eastAsia="宋体" w:cs="宋体"/>
                      <w:caps w:val="0"/>
                      <w:color w:val="000000" w:themeColor="text1"/>
                      <w:sz w:val="21"/>
                      <w:szCs w:val="21"/>
                      <w:highlight w:val="none"/>
                      <w14:textFill>
                        <w14:solidFill>
                          <w14:schemeClr w14:val="tx1"/>
                        </w14:solidFill>
                      </w14:textFill>
                    </w:rPr>
                    <w:t>HW</w:t>
                  </w: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08</w:t>
                  </w:r>
                </w:p>
              </w:tc>
              <w:tc>
                <w:tcPr>
                  <w:tcW w:w="1290" w:type="dxa"/>
                  <w:tcBorders>
                    <w:tl2br w:val="nil"/>
                    <w:tr2bl w:val="nil"/>
                  </w:tcBorders>
                  <w:noWrap w:val="0"/>
                  <w:vAlign w:val="center"/>
                </w:tcPr>
                <w:p w14:paraId="63096114">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000000" w:themeColor="text1"/>
                      <w:sz w:val="21"/>
                      <w:szCs w:val="21"/>
                      <w:highlight w:val="none"/>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t>900-249-08</w:t>
                  </w:r>
                </w:p>
              </w:tc>
              <w:tc>
                <w:tcPr>
                  <w:tcW w:w="1031" w:type="dxa"/>
                  <w:vMerge w:val="restart"/>
                  <w:tcBorders>
                    <w:tl2br w:val="nil"/>
                    <w:tr2bl w:val="nil"/>
                  </w:tcBorders>
                  <w:noWrap w:val="0"/>
                  <w:vAlign w:val="center"/>
                </w:tcPr>
                <w:p w14:paraId="6303A529">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危废贮存点</w:t>
                  </w:r>
                </w:p>
              </w:tc>
              <w:tc>
                <w:tcPr>
                  <w:tcW w:w="654" w:type="dxa"/>
                  <w:vMerge w:val="restart"/>
                  <w:tcBorders>
                    <w:tl2br w:val="nil"/>
                    <w:tr2bl w:val="nil"/>
                  </w:tcBorders>
                  <w:noWrap w:val="0"/>
                  <w:vAlign w:val="center"/>
                </w:tcPr>
                <w:p w14:paraId="1519A3F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000000" w:themeColor="text1"/>
                      <w:kern w:val="0"/>
                      <w:sz w:val="21"/>
                      <w:szCs w:val="21"/>
                      <w:highlight w:val="none"/>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20</w:t>
                  </w:r>
                  <w:r>
                    <w:rPr>
                      <w:rFonts w:ascii="Times New Roman" w:hAnsi="Times New Roman" w:eastAsia="宋体" w:cs="宋体"/>
                      <w:caps w:val="0"/>
                      <w:color w:val="000000" w:themeColor="text1"/>
                      <w:kern w:val="0"/>
                      <w:sz w:val="21"/>
                      <w:szCs w:val="21"/>
                      <w:highlight w:val="none"/>
                      <w14:textFill>
                        <w14:solidFill>
                          <w14:schemeClr w14:val="tx1"/>
                        </w14:solidFill>
                      </w14:textFill>
                    </w:rPr>
                    <w:t>m</w:t>
                  </w:r>
                  <w:r>
                    <w:rPr>
                      <w:rFonts w:ascii="Times New Roman" w:hAnsi="Times New Roman" w:eastAsia="宋体" w:cs="宋体"/>
                      <w:caps w:val="0"/>
                      <w:color w:val="000000" w:themeColor="text1"/>
                      <w:kern w:val="0"/>
                      <w:sz w:val="21"/>
                      <w:szCs w:val="21"/>
                      <w:highlight w:val="none"/>
                      <w:vertAlign w:val="superscript"/>
                      <w14:textFill>
                        <w14:solidFill>
                          <w14:schemeClr w14:val="tx1"/>
                        </w14:solidFill>
                      </w14:textFill>
                    </w:rPr>
                    <w:t>2</w:t>
                  </w:r>
                </w:p>
              </w:tc>
              <w:tc>
                <w:tcPr>
                  <w:tcW w:w="719" w:type="dxa"/>
                  <w:vMerge w:val="restart"/>
                  <w:tcBorders>
                    <w:tl2br w:val="nil"/>
                    <w:tr2bl w:val="nil"/>
                  </w:tcBorders>
                  <w:noWrap w:val="0"/>
                  <w:vAlign w:val="center"/>
                </w:tcPr>
                <w:p w14:paraId="04718018">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000000" w:themeColor="text1"/>
                      <w:kern w:val="0"/>
                      <w:sz w:val="21"/>
                      <w:szCs w:val="21"/>
                      <w:highlight w:val="none"/>
                      <w14:textFill>
                        <w14:solidFill>
                          <w14:schemeClr w14:val="tx1"/>
                        </w14:solidFill>
                      </w14:textFill>
                    </w:rPr>
                  </w:pPr>
                  <w:r>
                    <w:rPr>
                      <w:rFonts w:ascii="Times New Roman" w:hAnsi="Times New Roman" w:eastAsia="宋体" w:cs="宋体"/>
                      <w:caps w:val="0"/>
                      <w:color w:val="000000" w:themeColor="text1"/>
                      <w:kern w:val="0"/>
                      <w:sz w:val="21"/>
                      <w:szCs w:val="21"/>
                      <w:highlight w:val="none"/>
                      <w14:textFill>
                        <w14:solidFill>
                          <w14:schemeClr w14:val="tx1"/>
                        </w14:solidFill>
                      </w14:textFill>
                    </w:rPr>
                    <w:t>分类单独容器</w:t>
                  </w:r>
                  <w:r>
                    <w:rPr>
                      <w:rFonts w:hint="eastAsia" w:ascii="Times New Roman" w:hAnsi="Times New Roman" w:eastAsia="宋体" w:cs="宋体"/>
                      <w:caps w:val="0"/>
                      <w:color w:val="000000" w:themeColor="text1"/>
                      <w:kern w:val="0"/>
                      <w:sz w:val="21"/>
                      <w:szCs w:val="21"/>
                      <w:highlight w:val="none"/>
                      <w14:textFill>
                        <w14:solidFill>
                          <w14:schemeClr w14:val="tx1"/>
                        </w14:solidFill>
                      </w14:textFill>
                    </w:rPr>
                    <w:t>暂存</w:t>
                  </w:r>
                </w:p>
              </w:tc>
              <w:tc>
                <w:tcPr>
                  <w:tcW w:w="621" w:type="dxa"/>
                  <w:vMerge w:val="restart"/>
                  <w:tcBorders>
                    <w:tl2br w:val="nil"/>
                    <w:tr2bl w:val="nil"/>
                  </w:tcBorders>
                  <w:noWrap w:val="0"/>
                  <w:vAlign w:val="center"/>
                </w:tcPr>
                <w:p w14:paraId="3DA4EE7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000000" w:themeColor="text1"/>
                      <w:kern w:val="0"/>
                      <w:sz w:val="21"/>
                      <w:szCs w:val="21"/>
                      <w:highlight w:val="none"/>
                      <w14:textFill>
                        <w14:solidFill>
                          <w14:schemeClr w14:val="tx1"/>
                        </w14:solidFill>
                      </w14:textFill>
                    </w:rPr>
                  </w:pPr>
                  <w:r>
                    <w:rPr>
                      <w:rFonts w:hint="eastAsia" w:ascii="Times New Roman" w:hAnsi="Times New Roman" w:cs="宋体"/>
                      <w:caps w:val="0"/>
                      <w:color w:val="000000" w:themeColor="text1"/>
                      <w:kern w:val="0"/>
                      <w:sz w:val="21"/>
                      <w:szCs w:val="21"/>
                      <w:highlight w:val="none"/>
                      <w:lang w:val="en-US" w:eastAsia="zh-CN"/>
                      <w14:textFill>
                        <w14:solidFill>
                          <w14:schemeClr w14:val="tx1"/>
                        </w14:solidFill>
                      </w14:textFill>
                    </w:rPr>
                    <w:t>8</w:t>
                  </w:r>
                  <w:r>
                    <w:rPr>
                      <w:rFonts w:ascii="Times New Roman" w:hAnsi="Times New Roman" w:eastAsia="宋体" w:cs="宋体"/>
                      <w:caps w:val="0"/>
                      <w:color w:val="000000" w:themeColor="text1"/>
                      <w:kern w:val="0"/>
                      <w:sz w:val="21"/>
                      <w:szCs w:val="21"/>
                      <w:highlight w:val="none"/>
                      <w14:textFill>
                        <w14:solidFill>
                          <w14:schemeClr w14:val="tx1"/>
                        </w14:solidFill>
                      </w14:textFill>
                    </w:rPr>
                    <w:t>t</w:t>
                  </w:r>
                </w:p>
              </w:tc>
            </w:tr>
            <w:tr w14:paraId="335413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423" w:type="dxa"/>
                  <w:tcBorders>
                    <w:tl2br w:val="nil"/>
                    <w:tr2bl w:val="nil"/>
                  </w:tcBorders>
                  <w:noWrap w:val="0"/>
                  <w:vAlign w:val="center"/>
                </w:tcPr>
                <w:p w14:paraId="1427745C">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2</w:t>
                  </w:r>
                </w:p>
              </w:tc>
              <w:tc>
                <w:tcPr>
                  <w:tcW w:w="1223" w:type="dxa"/>
                  <w:vMerge w:val="continue"/>
                  <w:tcBorders>
                    <w:tl2br w:val="nil"/>
                    <w:tr2bl w:val="nil"/>
                  </w:tcBorders>
                  <w:noWrap w:val="0"/>
                  <w:vAlign w:val="center"/>
                </w:tcPr>
                <w:p w14:paraId="06827CA5">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z w:val="21"/>
                      <w:szCs w:val="21"/>
                      <w:highlight w:val="none"/>
                      <w:lang w:eastAsia="zh-CN"/>
                      <w14:textFill>
                        <w14:solidFill>
                          <w14:schemeClr w14:val="tx1"/>
                        </w14:solidFill>
                      </w14:textFill>
                    </w:rPr>
                  </w:pPr>
                </w:p>
              </w:tc>
              <w:tc>
                <w:tcPr>
                  <w:tcW w:w="1110" w:type="dxa"/>
                  <w:tcBorders>
                    <w:tl2br w:val="nil"/>
                    <w:tr2bl w:val="nil"/>
                  </w:tcBorders>
                  <w:noWrap w:val="0"/>
                  <w:vAlign w:val="center"/>
                </w:tcPr>
                <w:p w14:paraId="0B94ED59">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废机油桶</w:t>
                  </w:r>
                </w:p>
              </w:tc>
              <w:tc>
                <w:tcPr>
                  <w:tcW w:w="795" w:type="dxa"/>
                  <w:tcBorders>
                    <w:tl2br w:val="nil"/>
                    <w:tr2bl w:val="nil"/>
                  </w:tcBorders>
                  <w:noWrap w:val="0"/>
                  <w:vAlign w:val="center"/>
                </w:tcPr>
                <w:p w14:paraId="6C244BF5">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HW49</w:t>
                  </w:r>
                </w:p>
              </w:tc>
              <w:tc>
                <w:tcPr>
                  <w:tcW w:w="1290" w:type="dxa"/>
                  <w:tcBorders>
                    <w:tl2br w:val="nil"/>
                    <w:tr2bl w:val="nil"/>
                  </w:tcBorders>
                  <w:noWrap w:val="0"/>
                  <w:vAlign w:val="center"/>
                </w:tcPr>
                <w:p w14:paraId="4BA4096D">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t>900-041-49</w:t>
                  </w:r>
                </w:p>
              </w:tc>
              <w:tc>
                <w:tcPr>
                  <w:tcW w:w="1031" w:type="dxa"/>
                  <w:vMerge w:val="continue"/>
                  <w:tcBorders>
                    <w:tl2br w:val="nil"/>
                    <w:tr2bl w:val="nil"/>
                  </w:tcBorders>
                  <w:noWrap w:val="0"/>
                  <w:vAlign w:val="center"/>
                </w:tcPr>
                <w:p w14:paraId="3B6E09D7">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p>
              </w:tc>
              <w:tc>
                <w:tcPr>
                  <w:tcW w:w="654" w:type="dxa"/>
                  <w:vMerge w:val="continue"/>
                  <w:tcBorders>
                    <w:tl2br w:val="nil"/>
                    <w:tr2bl w:val="nil"/>
                  </w:tcBorders>
                  <w:noWrap w:val="0"/>
                  <w:vAlign w:val="center"/>
                </w:tcPr>
                <w:p w14:paraId="51948599">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p>
              </w:tc>
              <w:tc>
                <w:tcPr>
                  <w:tcW w:w="719" w:type="dxa"/>
                  <w:vMerge w:val="continue"/>
                  <w:tcBorders>
                    <w:tl2br w:val="nil"/>
                    <w:tr2bl w:val="nil"/>
                  </w:tcBorders>
                  <w:noWrap w:val="0"/>
                  <w:vAlign w:val="center"/>
                </w:tcPr>
                <w:p w14:paraId="441F4B53">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000000" w:themeColor="text1"/>
                      <w:kern w:val="0"/>
                      <w:sz w:val="21"/>
                      <w:szCs w:val="21"/>
                      <w:highlight w:val="none"/>
                      <w14:textFill>
                        <w14:solidFill>
                          <w14:schemeClr w14:val="tx1"/>
                        </w14:solidFill>
                      </w14:textFill>
                    </w:rPr>
                  </w:pPr>
                </w:p>
              </w:tc>
              <w:tc>
                <w:tcPr>
                  <w:tcW w:w="621" w:type="dxa"/>
                  <w:vMerge w:val="continue"/>
                  <w:tcBorders>
                    <w:tl2br w:val="nil"/>
                    <w:tr2bl w:val="nil"/>
                  </w:tcBorders>
                  <w:noWrap w:val="0"/>
                  <w:vAlign w:val="center"/>
                </w:tcPr>
                <w:p w14:paraId="3C964BE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p>
              </w:tc>
            </w:tr>
            <w:tr w14:paraId="377E4D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423" w:type="dxa"/>
                  <w:tcBorders>
                    <w:tl2br w:val="nil"/>
                    <w:tr2bl w:val="nil"/>
                  </w:tcBorders>
                  <w:noWrap w:val="0"/>
                  <w:vAlign w:val="center"/>
                </w:tcPr>
                <w:p w14:paraId="78197604">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3</w:t>
                  </w:r>
                </w:p>
              </w:tc>
              <w:tc>
                <w:tcPr>
                  <w:tcW w:w="1223" w:type="dxa"/>
                  <w:vMerge w:val="continue"/>
                  <w:tcBorders>
                    <w:tl2br w:val="nil"/>
                    <w:tr2bl w:val="nil"/>
                  </w:tcBorders>
                  <w:noWrap w:val="0"/>
                  <w:vAlign w:val="center"/>
                </w:tcPr>
                <w:p w14:paraId="49E2BC3A">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z w:val="21"/>
                      <w:szCs w:val="21"/>
                      <w:highlight w:val="none"/>
                      <w:lang w:eastAsia="zh-CN"/>
                      <w14:textFill>
                        <w14:solidFill>
                          <w14:schemeClr w14:val="tx1"/>
                        </w14:solidFill>
                      </w14:textFill>
                    </w:rPr>
                  </w:pPr>
                </w:p>
              </w:tc>
              <w:tc>
                <w:tcPr>
                  <w:tcW w:w="1110" w:type="dxa"/>
                  <w:tcBorders>
                    <w:tl2br w:val="nil"/>
                    <w:tr2bl w:val="nil"/>
                  </w:tcBorders>
                  <w:noWrap w:val="0"/>
                  <w:vAlign w:val="center"/>
                </w:tcPr>
                <w:p w14:paraId="2D4ABB25">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含油棉纱</w:t>
                  </w:r>
                </w:p>
              </w:tc>
              <w:tc>
                <w:tcPr>
                  <w:tcW w:w="795" w:type="dxa"/>
                  <w:tcBorders>
                    <w:tl2br w:val="nil"/>
                    <w:tr2bl w:val="nil"/>
                  </w:tcBorders>
                  <w:noWrap w:val="0"/>
                  <w:vAlign w:val="center"/>
                </w:tcPr>
                <w:p w14:paraId="43345F73">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HW49</w:t>
                  </w:r>
                </w:p>
              </w:tc>
              <w:tc>
                <w:tcPr>
                  <w:tcW w:w="1290" w:type="dxa"/>
                  <w:tcBorders>
                    <w:tl2br w:val="nil"/>
                    <w:tr2bl w:val="nil"/>
                  </w:tcBorders>
                  <w:noWrap w:val="0"/>
                  <w:vAlign w:val="center"/>
                </w:tcPr>
                <w:p w14:paraId="5F0882A7">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t>900-041-49</w:t>
                  </w:r>
                </w:p>
              </w:tc>
              <w:tc>
                <w:tcPr>
                  <w:tcW w:w="1031" w:type="dxa"/>
                  <w:vMerge w:val="continue"/>
                  <w:tcBorders>
                    <w:tl2br w:val="nil"/>
                    <w:tr2bl w:val="nil"/>
                  </w:tcBorders>
                  <w:noWrap w:val="0"/>
                  <w:vAlign w:val="center"/>
                </w:tcPr>
                <w:p w14:paraId="69FBA2F9">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p>
              </w:tc>
              <w:tc>
                <w:tcPr>
                  <w:tcW w:w="654" w:type="dxa"/>
                  <w:vMerge w:val="continue"/>
                  <w:tcBorders>
                    <w:tl2br w:val="nil"/>
                    <w:tr2bl w:val="nil"/>
                  </w:tcBorders>
                  <w:noWrap w:val="0"/>
                  <w:vAlign w:val="center"/>
                </w:tcPr>
                <w:p w14:paraId="670A0CC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p>
              </w:tc>
              <w:tc>
                <w:tcPr>
                  <w:tcW w:w="719" w:type="dxa"/>
                  <w:vMerge w:val="continue"/>
                  <w:tcBorders>
                    <w:tl2br w:val="nil"/>
                    <w:tr2bl w:val="nil"/>
                  </w:tcBorders>
                  <w:noWrap w:val="0"/>
                  <w:vAlign w:val="center"/>
                </w:tcPr>
                <w:p w14:paraId="52DDC1E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000000" w:themeColor="text1"/>
                      <w:kern w:val="0"/>
                      <w:sz w:val="21"/>
                      <w:szCs w:val="21"/>
                      <w:highlight w:val="none"/>
                      <w14:textFill>
                        <w14:solidFill>
                          <w14:schemeClr w14:val="tx1"/>
                        </w14:solidFill>
                      </w14:textFill>
                    </w:rPr>
                  </w:pPr>
                </w:p>
              </w:tc>
              <w:tc>
                <w:tcPr>
                  <w:tcW w:w="621" w:type="dxa"/>
                  <w:vMerge w:val="continue"/>
                  <w:tcBorders>
                    <w:tl2br w:val="nil"/>
                    <w:tr2bl w:val="nil"/>
                  </w:tcBorders>
                  <w:noWrap w:val="0"/>
                  <w:vAlign w:val="center"/>
                </w:tcPr>
                <w:p w14:paraId="7637819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p>
              </w:tc>
            </w:tr>
            <w:tr w14:paraId="301A43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423" w:type="dxa"/>
                  <w:tcBorders>
                    <w:tl2br w:val="nil"/>
                    <w:tr2bl w:val="nil"/>
                  </w:tcBorders>
                  <w:noWrap w:val="0"/>
                  <w:vAlign w:val="center"/>
                </w:tcPr>
                <w:p w14:paraId="15DEA90A">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4</w:t>
                  </w:r>
                </w:p>
              </w:tc>
              <w:tc>
                <w:tcPr>
                  <w:tcW w:w="1223" w:type="dxa"/>
                  <w:vMerge w:val="continue"/>
                  <w:tcBorders>
                    <w:tl2br w:val="nil"/>
                    <w:tr2bl w:val="nil"/>
                  </w:tcBorders>
                  <w:noWrap w:val="0"/>
                  <w:vAlign w:val="center"/>
                </w:tcPr>
                <w:p w14:paraId="1AB3B22F">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z w:val="21"/>
                      <w:szCs w:val="21"/>
                      <w:highlight w:val="none"/>
                      <w:lang w:eastAsia="zh-CN"/>
                      <w14:textFill>
                        <w14:solidFill>
                          <w14:schemeClr w14:val="tx1"/>
                        </w14:solidFill>
                      </w14:textFill>
                    </w:rPr>
                  </w:pPr>
                </w:p>
              </w:tc>
              <w:tc>
                <w:tcPr>
                  <w:tcW w:w="1110" w:type="dxa"/>
                  <w:tcBorders>
                    <w:tl2br w:val="nil"/>
                    <w:tr2bl w:val="nil"/>
                  </w:tcBorders>
                  <w:noWrap w:val="0"/>
                  <w:vAlign w:val="center"/>
                </w:tcPr>
                <w:p w14:paraId="3664AC6A">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废导热油</w:t>
                  </w:r>
                </w:p>
              </w:tc>
              <w:tc>
                <w:tcPr>
                  <w:tcW w:w="795" w:type="dxa"/>
                  <w:tcBorders>
                    <w:tl2br w:val="nil"/>
                    <w:tr2bl w:val="nil"/>
                  </w:tcBorders>
                  <w:noWrap w:val="0"/>
                  <w:vAlign w:val="center"/>
                </w:tcPr>
                <w:p w14:paraId="1945775E">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ascii="Times New Roman" w:hAnsi="Times New Roman" w:eastAsia="宋体" w:cs="宋体"/>
                      <w:caps w:val="0"/>
                      <w:color w:val="000000" w:themeColor="text1"/>
                      <w:sz w:val="21"/>
                      <w:szCs w:val="21"/>
                      <w:highlight w:val="none"/>
                      <w14:textFill>
                        <w14:solidFill>
                          <w14:schemeClr w14:val="tx1"/>
                        </w14:solidFill>
                      </w14:textFill>
                    </w:rPr>
                    <w:t>HW</w:t>
                  </w: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08</w:t>
                  </w:r>
                </w:p>
              </w:tc>
              <w:tc>
                <w:tcPr>
                  <w:tcW w:w="1290" w:type="dxa"/>
                  <w:tcBorders>
                    <w:tl2br w:val="nil"/>
                    <w:tr2bl w:val="nil"/>
                  </w:tcBorders>
                  <w:noWrap w:val="0"/>
                  <w:vAlign w:val="center"/>
                </w:tcPr>
                <w:p w14:paraId="6FF846AB">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t>900-249-08</w:t>
                  </w:r>
                </w:p>
              </w:tc>
              <w:tc>
                <w:tcPr>
                  <w:tcW w:w="1031" w:type="dxa"/>
                  <w:vMerge w:val="continue"/>
                  <w:tcBorders>
                    <w:tl2br w:val="nil"/>
                    <w:tr2bl w:val="nil"/>
                  </w:tcBorders>
                  <w:noWrap w:val="0"/>
                  <w:vAlign w:val="center"/>
                </w:tcPr>
                <w:p w14:paraId="6E9B868E">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p>
              </w:tc>
              <w:tc>
                <w:tcPr>
                  <w:tcW w:w="654" w:type="dxa"/>
                  <w:vMerge w:val="continue"/>
                  <w:tcBorders>
                    <w:tl2br w:val="nil"/>
                    <w:tr2bl w:val="nil"/>
                  </w:tcBorders>
                  <w:noWrap w:val="0"/>
                  <w:vAlign w:val="center"/>
                </w:tcPr>
                <w:p w14:paraId="3CB1983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p>
              </w:tc>
              <w:tc>
                <w:tcPr>
                  <w:tcW w:w="719" w:type="dxa"/>
                  <w:vMerge w:val="continue"/>
                  <w:tcBorders>
                    <w:tl2br w:val="nil"/>
                    <w:tr2bl w:val="nil"/>
                  </w:tcBorders>
                  <w:noWrap w:val="0"/>
                  <w:vAlign w:val="center"/>
                </w:tcPr>
                <w:p w14:paraId="20DA771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000000" w:themeColor="text1"/>
                      <w:kern w:val="0"/>
                      <w:sz w:val="21"/>
                      <w:szCs w:val="21"/>
                      <w:highlight w:val="none"/>
                      <w14:textFill>
                        <w14:solidFill>
                          <w14:schemeClr w14:val="tx1"/>
                        </w14:solidFill>
                      </w14:textFill>
                    </w:rPr>
                  </w:pPr>
                </w:p>
              </w:tc>
              <w:tc>
                <w:tcPr>
                  <w:tcW w:w="621" w:type="dxa"/>
                  <w:vMerge w:val="continue"/>
                  <w:tcBorders>
                    <w:tl2br w:val="nil"/>
                    <w:tr2bl w:val="nil"/>
                  </w:tcBorders>
                  <w:noWrap w:val="0"/>
                  <w:vAlign w:val="center"/>
                </w:tcPr>
                <w:p w14:paraId="7EE63F4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p>
              </w:tc>
            </w:tr>
          </w:tbl>
          <w:p w14:paraId="53BF18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宋体"/>
                <w:b/>
                <w:bCs/>
                <w:caps w:val="0"/>
                <w:color w:val="000000" w:themeColor="text1"/>
                <w:spacing w:val="6"/>
                <w:sz w:val="24"/>
                <w:highlight w:val="none"/>
                <w14:textFill>
                  <w14:solidFill>
                    <w14:schemeClr w14:val="tx1"/>
                  </w14:solidFill>
                </w14:textFill>
              </w:rPr>
            </w:pPr>
            <w:r>
              <w:rPr>
                <w:rFonts w:hint="eastAsia" w:ascii="Times New Roman" w:hAnsi="Times New Roman" w:eastAsia="宋体" w:cs="宋体"/>
                <w:b/>
                <w:bCs/>
                <w:caps w:val="0"/>
                <w:color w:val="000000" w:themeColor="text1"/>
                <w:spacing w:val="6"/>
                <w:sz w:val="24"/>
                <w:highlight w:val="none"/>
                <w14:textFill>
                  <w14:solidFill>
                    <w14:schemeClr w14:val="tx1"/>
                  </w14:solidFill>
                </w14:textFill>
              </w:rPr>
              <w:t>表</w:t>
            </w:r>
            <w:r>
              <w:rPr>
                <w:rFonts w:ascii="Times New Roman" w:hAnsi="Times New Roman" w:eastAsia="宋体" w:cs="宋体"/>
                <w:b/>
                <w:bCs/>
                <w:caps w:val="0"/>
                <w:color w:val="000000" w:themeColor="text1"/>
                <w:spacing w:val="6"/>
                <w:sz w:val="24"/>
                <w:highlight w:val="none"/>
                <w14:textFill>
                  <w14:solidFill>
                    <w14:schemeClr w14:val="tx1"/>
                  </w14:solidFill>
                </w14:textFill>
              </w:rPr>
              <w:t>4-</w:t>
            </w:r>
            <w:r>
              <w:rPr>
                <w:rFonts w:hint="eastAsia" w:ascii="Times New Roman" w:hAnsi="Times New Roman" w:eastAsia="宋体" w:cs="宋体"/>
                <w:b/>
                <w:bCs/>
                <w:caps w:val="0"/>
                <w:color w:val="000000" w:themeColor="text1"/>
                <w:spacing w:val="6"/>
                <w:sz w:val="24"/>
                <w:highlight w:val="none"/>
                <w:lang w:val="en-US" w:eastAsia="zh-CN"/>
                <w14:textFill>
                  <w14:solidFill>
                    <w14:schemeClr w14:val="tx1"/>
                  </w14:solidFill>
                </w14:textFill>
              </w:rPr>
              <w:t>1</w:t>
            </w:r>
            <w:r>
              <w:rPr>
                <w:rFonts w:hint="eastAsia" w:ascii="Times New Roman" w:hAnsi="Times New Roman" w:cs="宋体"/>
                <w:b/>
                <w:bCs/>
                <w:caps w:val="0"/>
                <w:color w:val="000000" w:themeColor="text1"/>
                <w:spacing w:val="6"/>
                <w:sz w:val="24"/>
                <w:highlight w:val="none"/>
                <w:lang w:val="en-US" w:eastAsia="zh-CN"/>
                <w14:textFill>
                  <w14:solidFill>
                    <w14:schemeClr w14:val="tx1"/>
                  </w14:solidFill>
                </w14:textFill>
              </w:rPr>
              <w:t>3</w:t>
            </w:r>
            <w:r>
              <w:rPr>
                <w:rFonts w:ascii="Times New Roman" w:hAnsi="Times New Roman" w:eastAsia="宋体" w:cs="宋体"/>
                <w:b/>
                <w:bCs/>
                <w:caps w:val="0"/>
                <w:color w:val="000000" w:themeColor="text1"/>
                <w:spacing w:val="6"/>
                <w:sz w:val="24"/>
                <w:highlight w:val="none"/>
                <w14:textFill>
                  <w14:solidFill>
                    <w14:schemeClr w14:val="tx1"/>
                  </w14:solidFill>
                </w14:textFill>
              </w:rPr>
              <w:t xml:space="preserve">  </w:t>
            </w:r>
            <w:r>
              <w:rPr>
                <w:rFonts w:hint="eastAsia" w:ascii="Times New Roman" w:hAnsi="Times New Roman" w:eastAsia="宋体" w:cs="宋体"/>
                <w:b/>
                <w:bCs/>
                <w:caps w:val="0"/>
                <w:color w:val="000000" w:themeColor="text1"/>
                <w:spacing w:val="6"/>
                <w:sz w:val="24"/>
                <w:highlight w:val="none"/>
                <w14:textFill>
                  <w14:solidFill>
                    <w14:schemeClr w14:val="tx1"/>
                  </w14:solidFill>
                </w14:textFill>
              </w:rPr>
              <w:t>危险废物汇总表</w:t>
            </w:r>
          </w:p>
          <w:tbl>
            <w:tblPr>
              <w:tblStyle w:val="36"/>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5"/>
              <w:gridCol w:w="879"/>
              <w:gridCol w:w="1338"/>
              <w:gridCol w:w="888"/>
              <w:gridCol w:w="731"/>
              <w:gridCol w:w="478"/>
              <w:gridCol w:w="800"/>
              <w:gridCol w:w="731"/>
              <w:gridCol w:w="1302"/>
            </w:tblGrid>
            <w:tr w14:paraId="7FB5CE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l2br w:val="nil"/>
                    <w:tr2bl w:val="nil"/>
                  </w:tcBorders>
                  <w:noWrap w:val="0"/>
                  <w:vAlign w:val="center"/>
                </w:tcPr>
                <w:p w14:paraId="494D13AE">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14:textFill>
                        <w14:solidFill>
                          <w14:schemeClr w14:val="tx1"/>
                        </w14:solidFill>
                      </w14:textFill>
                    </w:rPr>
                    <w:t>危险废物名称</w:t>
                  </w:r>
                </w:p>
              </w:tc>
              <w:tc>
                <w:tcPr>
                  <w:tcW w:w="558" w:type="pct"/>
                  <w:tcBorders>
                    <w:tl2br w:val="nil"/>
                    <w:tr2bl w:val="nil"/>
                  </w:tcBorders>
                  <w:noWrap w:val="0"/>
                  <w:vAlign w:val="center"/>
                </w:tcPr>
                <w:p w14:paraId="2865894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14:textFill>
                        <w14:solidFill>
                          <w14:schemeClr w14:val="tx1"/>
                        </w14:solidFill>
                      </w14:textFill>
                    </w:rPr>
                    <w:t>危险废物类别</w:t>
                  </w:r>
                </w:p>
              </w:tc>
              <w:tc>
                <w:tcPr>
                  <w:tcW w:w="849" w:type="pct"/>
                  <w:tcBorders>
                    <w:tl2br w:val="nil"/>
                    <w:tr2bl w:val="nil"/>
                  </w:tcBorders>
                  <w:noWrap w:val="0"/>
                  <w:vAlign w:val="center"/>
                </w:tcPr>
                <w:p w14:paraId="417E3F2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14:textFill>
                        <w14:solidFill>
                          <w14:schemeClr w14:val="tx1"/>
                        </w14:solidFill>
                      </w14:textFill>
                    </w:rPr>
                    <w:t>危险废物代码</w:t>
                  </w:r>
                </w:p>
              </w:tc>
              <w:tc>
                <w:tcPr>
                  <w:tcW w:w="564" w:type="pct"/>
                  <w:tcBorders>
                    <w:tl2br w:val="nil"/>
                    <w:tr2bl w:val="nil"/>
                  </w:tcBorders>
                  <w:noWrap w:val="0"/>
                  <w:vAlign w:val="center"/>
                </w:tcPr>
                <w:p w14:paraId="621F372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14:textFill>
                        <w14:solidFill>
                          <w14:schemeClr w14:val="tx1"/>
                        </w14:solidFill>
                      </w14:textFill>
                    </w:rPr>
                    <w:t>产生量</w:t>
                  </w:r>
                </w:p>
              </w:tc>
              <w:tc>
                <w:tcPr>
                  <w:tcW w:w="464" w:type="pct"/>
                  <w:tcBorders>
                    <w:tl2br w:val="nil"/>
                    <w:tr2bl w:val="nil"/>
                  </w:tcBorders>
                  <w:noWrap w:val="0"/>
                  <w:vAlign w:val="center"/>
                </w:tcPr>
                <w:p w14:paraId="566B0720">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14:textFill>
                        <w14:solidFill>
                          <w14:schemeClr w14:val="tx1"/>
                        </w14:solidFill>
                      </w14:textFill>
                    </w:rPr>
                    <w:t>产生工序</w:t>
                  </w:r>
                </w:p>
              </w:tc>
              <w:tc>
                <w:tcPr>
                  <w:tcW w:w="303" w:type="pct"/>
                  <w:tcBorders>
                    <w:tl2br w:val="nil"/>
                    <w:tr2bl w:val="nil"/>
                  </w:tcBorders>
                  <w:noWrap w:val="0"/>
                  <w:vAlign w:val="center"/>
                </w:tcPr>
                <w:p w14:paraId="07809600">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14:textFill>
                        <w14:solidFill>
                          <w14:schemeClr w14:val="tx1"/>
                        </w14:solidFill>
                      </w14:textFill>
                    </w:rPr>
                    <w:t>形态</w:t>
                  </w:r>
                </w:p>
              </w:tc>
              <w:tc>
                <w:tcPr>
                  <w:tcW w:w="508" w:type="pct"/>
                  <w:tcBorders>
                    <w:tl2br w:val="nil"/>
                    <w:tr2bl w:val="nil"/>
                  </w:tcBorders>
                  <w:noWrap w:val="0"/>
                  <w:vAlign w:val="center"/>
                </w:tcPr>
                <w:p w14:paraId="1FEFA884">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14:textFill>
                        <w14:solidFill>
                          <w14:schemeClr w14:val="tx1"/>
                        </w14:solidFill>
                      </w14:textFill>
                    </w:rPr>
                    <w:t>有害成分</w:t>
                  </w:r>
                </w:p>
              </w:tc>
              <w:tc>
                <w:tcPr>
                  <w:tcW w:w="464" w:type="pct"/>
                  <w:tcBorders>
                    <w:tl2br w:val="nil"/>
                    <w:tr2bl w:val="nil"/>
                  </w:tcBorders>
                  <w:noWrap w:val="0"/>
                  <w:vAlign w:val="center"/>
                </w:tcPr>
                <w:p w14:paraId="5907AC98">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14:textFill>
                        <w14:solidFill>
                          <w14:schemeClr w14:val="tx1"/>
                        </w14:solidFill>
                      </w14:textFill>
                    </w:rPr>
                    <w:t>产废周期</w:t>
                  </w:r>
                </w:p>
              </w:tc>
              <w:tc>
                <w:tcPr>
                  <w:tcW w:w="826" w:type="pct"/>
                  <w:tcBorders>
                    <w:tl2br w:val="nil"/>
                    <w:tr2bl w:val="nil"/>
                  </w:tcBorders>
                  <w:noWrap w:val="0"/>
                  <w:vAlign w:val="center"/>
                </w:tcPr>
                <w:p w14:paraId="47B91A6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
                      <w:bCs/>
                      <w:caps w:val="0"/>
                      <w:color w:val="000000" w:themeColor="text1"/>
                      <w:sz w:val="21"/>
                      <w:szCs w:val="21"/>
                      <w:highlight w:val="none"/>
                      <w14:textFill>
                        <w14:solidFill>
                          <w14:schemeClr w14:val="tx1"/>
                        </w14:solidFill>
                      </w14:textFill>
                    </w:rPr>
                    <w:t>污染防治措施</w:t>
                  </w:r>
                </w:p>
              </w:tc>
            </w:tr>
            <w:tr w14:paraId="2BD097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l2br w:val="nil"/>
                    <w:tr2bl w:val="nil"/>
                  </w:tcBorders>
                  <w:noWrap w:val="0"/>
                  <w:vAlign w:val="center"/>
                </w:tcPr>
                <w:p w14:paraId="66F3E627">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废机油</w:t>
                  </w:r>
                </w:p>
              </w:tc>
              <w:tc>
                <w:tcPr>
                  <w:tcW w:w="558" w:type="pct"/>
                  <w:tcBorders>
                    <w:tl2br w:val="nil"/>
                    <w:tr2bl w:val="nil"/>
                  </w:tcBorders>
                  <w:noWrap w:val="0"/>
                  <w:vAlign w:val="center"/>
                </w:tcPr>
                <w:p w14:paraId="212EB779">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000000" w:themeColor="text1"/>
                      <w:sz w:val="21"/>
                      <w:szCs w:val="21"/>
                      <w:highlight w:val="none"/>
                      <w14:textFill>
                        <w14:solidFill>
                          <w14:schemeClr w14:val="tx1"/>
                        </w14:solidFill>
                      </w14:textFill>
                    </w:rPr>
                  </w:pPr>
                  <w:r>
                    <w:rPr>
                      <w:rFonts w:ascii="Times New Roman" w:hAnsi="Times New Roman" w:eastAsia="宋体" w:cs="宋体"/>
                      <w:caps w:val="0"/>
                      <w:color w:val="000000" w:themeColor="text1"/>
                      <w:sz w:val="21"/>
                      <w:szCs w:val="21"/>
                      <w:highlight w:val="none"/>
                      <w14:textFill>
                        <w14:solidFill>
                          <w14:schemeClr w14:val="tx1"/>
                        </w14:solidFill>
                      </w14:textFill>
                    </w:rPr>
                    <w:t>HW</w:t>
                  </w: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08</w:t>
                  </w:r>
                </w:p>
              </w:tc>
              <w:tc>
                <w:tcPr>
                  <w:tcW w:w="849" w:type="pct"/>
                  <w:tcBorders>
                    <w:tl2br w:val="nil"/>
                    <w:tr2bl w:val="nil"/>
                  </w:tcBorders>
                  <w:noWrap w:val="0"/>
                  <w:vAlign w:val="center"/>
                </w:tcPr>
                <w:p w14:paraId="770AB966">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000000" w:themeColor="text1"/>
                      <w:sz w:val="21"/>
                      <w:szCs w:val="21"/>
                      <w:highlight w:val="none"/>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t>900-249-08</w:t>
                  </w:r>
                </w:p>
              </w:tc>
              <w:tc>
                <w:tcPr>
                  <w:tcW w:w="564" w:type="pct"/>
                  <w:tcBorders>
                    <w:tl2br w:val="nil"/>
                    <w:tr2bl w:val="nil"/>
                  </w:tcBorders>
                  <w:noWrap w:val="0"/>
                  <w:vAlign w:val="center"/>
                </w:tcPr>
                <w:p w14:paraId="48865E14">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14:textFill>
                        <w14:solidFill>
                          <w14:schemeClr w14:val="tx1"/>
                        </w14:solidFill>
                      </w14:textFill>
                    </w:rPr>
                    <w:t>0</w:t>
                  </w:r>
                  <w:r>
                    <w:rPr>
                      <w:rFonts w:hint="eastAsia" w:ascii="Times New Roman" w:hAnsi="Times New Roman" w:eastAsia="宋体" w:cs="宋体"/>
                      <w:bCs/>
                      <w:caps w:val="0"/>
                      <w:color w:val="000000" w:themeColor="text1"/>
                      <w:sz w:val="21"/>
                      <w:szCs w:val="21"/>
                      <w:highlight w:val="none"/>
                      <w:lang w:eastAsia="zh-CN"/>
                      <w14:textFill>
                        <w14:solidFill>
                          <w14:schemeClr w14:val="tx1"/>
                        </w14:solidFill>
                      </w14:textFill>
                    </w:rPr>
                    <w:t>.</w:t>
                  </w: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01</w:t>
                  </w:r>
                  <w:r>
                    <w:rPr>
                      <w:rFonts w:hint="eastAsia" w:ascii="Times New Roman" w:hAnsi="Times New Roman" w:eastAsia="宋体" w:cs="宋体"/>
                      <w:bCs/>
                      <w:caps w:val="0"/>
                      <w:color w:val="000000" w:themeColor="text1"/>
                      <w:sz w:val="21"/>
                      <w:szCs w:val="21"/>
                      <w:highlight w:val="none"/>
                      <w14:textFill>
                        <w14:solidFill>
                          <w14:schemeClr w14:val="tx1"/>
                        </w14:solidFill>
                      </w14:textFill>
                    </w:rPr>
                    <w:t>t</w:t>
                  </w:r>
                  <w:r>
                    <w:rPr>
                      <w:rFonts w:ascii="Times New Roman" w:hAnsi="Times New Roman" w:eastAsia="宋体" w:cs="宋体"/>
                      <w:bCs/>
                      <w:caps w:val="0"/>
                      <w:color w:val="000000" w:themeColor="text1"/>
                      <w:sz w:val="21"/>
                      <w:szCs w:val="21"/>
                      <w:highlight w:val="none"/>
                      <w14:textFill>
                        <w14:solidFill>
                          <w14:schemeClr w14:val="tx1"/>
                        </w14:solidFill>
                      </w14:textFill>
                    </w:rPr>
                    <w:t>/a</w:t>
                  </w:r>
                </w:p>
              </w:tc>
              <w:tc>
                <w:tcPr>
                  <w:tcW w:w="464" w:type="pct"/>
                  <w:vMerge w:val="restart"/>
                  <w:tcBorders>
                    <w:tl2br w:val="nil"/>
                    <w:tr2bl w:val="nil"/>
                  </w:tcBorders>
                  <w:noWrap w:val="0"/>
                  <w:vAlign w:val="center"/>
                </w:tcPr>
                <w:p w14:paraId="500CE0B9">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cs="宋体"/>
                      <w:caps w:val="0"/>
                      <w:color w:val="000000"/>
                      <w:spacing w:val="0"/>
                      <w:sz w:val="21"/>
                      <w:szCs w:val="21"/>
                      <w:highlight w:val="none"/>
                      <w:lang w:val="en-US" w:eastAsia="zh-CN"/>
                    </w:rPr>
                    <w:t>导热油炉</w:t>
                  </w: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检修</w:t>
                  </w:r>
                </w:p>
              </w:tc>
              <w:tc>
                <w:tcPr>
                  <w:tcW w:w="303" w:type="pct"/>
                  <w:tcBorders>
                    <w:tl2br w:val="nil"/>
                    <w:tr2bl w:val="nil"/>
                  </w:tcBorders>
                  <w:noWrap w:val="0"/>
                  <w:vAlign w:val="center"/>
                </w:tcPr>
                <w:p w14:paraId="7D72163E">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液</w:t>
                  </w:r>
                  <w:r>
                    <w:rPr>
                      <w:rFonts w:hint="eastAsia" w:ascii="Times New Roman" w:hAnsi="Times New Roman" w:eastAsia="宋体" w:cs="宋体"/>
                      <w:bCs/>
                      <w:caps w:val="0"/>
                      <w:color w:val="000000" w:themeColor="text1"/>
                      <w:sz w:val="21"/>
                      <w:szCs w:val="21"/>
                      <w:highlight w:val="none"/>
                      <w14:textFill>
                        <w14:solidFill>
                          <w14:schemeClr w14:val="tx1"/>
                        </w14:solidFill>
                      </w14:textFill>
                    </w:rPr>
                    <w:t>态</w:t>
                  </w:r>
                </w:p>
              </w:tc>
              <w:tc>
                <w:tcPr>
                  <w:tcW w:w="508" w:type="pct"/>
                  <w:vMerge w:val="restart"/>
                  <w:tcBorders>
                    <w:tl2br w:val="nil"/>
                    <w:tr2bl w:val="nil"/>
                  </w:tcBorders>
                  <w:noWrap w:val="0"/>
                  <w:vAlign w:val="center"/>
                </w:tcPr>
                <w:p w14:paraId="0792B2E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烷烃、多环芳烃、烯烃、苯系物、酚类</w:t>
                  </w:r>
                </w:p>
              </w:tc>
              <w:tc>
                <w:tcPr>
                  <w:tcW w:w="464" w:type="pct"/>
                  <w:vMerge w:val="restart"/>
                  <w:tcBorders>
                    <w:tl2br w:val="nil"/>
                    <w:tr2bl w:val="nil"/>
                  </w:tcBorders>
                  <w:noWrap w:val="0"/>
                  <w:vAlign w:val="center"/>
                </w:tcPr>
                <w:p w14:paraId="3AF9AA58">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1次/年</w:t>
                  </w:r>
                </w:p>
              </w:tc>
              <w:tc>
                <w:tcPr>
                  <w:tcW w:w="826" w:type="pct"/>
                  <w:vMerge w:val="restart"/>
                  <w:tcBorders>
                    <w:tl2br w:val="nil"/>
                    <w:tr2bl w:val="nil"/>
                  </w:tcBorders>
                  <w:noWrap w:val="0"/>
                  <w:vAlign w:val="center"/>
                </w:tcPr>
                <w:p w14:paraId="3ADEC04F">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000000" w:themeColor="text1"/>
                      <w:sz w:val="21"/>
                      <w:szCs w:val="21"/>
                      <w:highlight w:val="none"/>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14:textFill>
                        <w14:solidFill>
                          <w14:schemeClr w14:val="tx1"/>
                        </w14:solidFill>
                      </w14:textFill>
                    </w:rPr>
                    <w:t>密闭容器分类收集，分区暂存于</w:t>
                  </w:r>
                  <w:r>
                    <w:rPr>
                      <w:rFonts w:hint="eastAsia" w:ascii="Times New Roman" w:hAnsi="Times New Roman" w:eastAsia="宋体" w:cs="宋体"/>
                      <w:bCs/>
                      <w:caps w:val="0"/>
                      <w:color w:val="000000" w:themeColor="text1"/>
                      <w:sz w:val="21"/>
                      <w:szCs w:val="21"/>
                      <w:highlight w:val="none"/>
                      <w:lang w:eastAsia="zh-CN"/>
                      <w14:textFill>
                        <w14:solidFill>
                          <w14:schemeClr w14:val="tx1"/>
                        </w14:solidFill>
                      </w14:textFill>
                    </w:rPr>
                    <w:t>废液室</w:t>
                  </w:r>
                  <w:r>
                    <w:rPr>
                      <w:rFonts w:hint="eastAsia" w:ascii="Times New Roman" w:hAnsi="Times New Roman" w:eastAsia="宋体" w:cs="宋体"/>
                      <w:bCs/>
                      <w:caps w:val="0"/>
                      <w:color w:val="000000" w:themeColor="text1"/>
                      <w:sz w:val="21"/>
                      <w:szCs w:val="21"/>
                      <w:highlight w:val="none"/>
                      <w14:textFill>
                        <w14:solidFill>
                          <w14:schemeClr w14:val="tx1"/>
                        </w14:solidFill>
                      </w14:textFill>
                    </w:rPr>
                    <w:t>，并设置围堰，定期交有资质单位处置</w:t>
                  </w:r>
                </w:p>
              </w:tc>
            </w:tr>
            <w:tr w14:paraId="2CEB0F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l2br w:val="nil"/>
                    <w:tr2bl w:val="nil"/>
                  </w:tcBorders>
                  <w:noWrap w:val="0"/>
                  <w:vAlign w:val="center"/>
                </w:tcPr>
                <w:p w14:paraId="46DF382C">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废机油桶</w:t>
                  </w:r>
                </w:p>
              </w:tc>
              <w:tc>
                <w:tcPr>
                  <w:tcW w:w="558" w:type="pct"/>
                  <w:tcBorders>
                    <w:tl2br w:val="nil"/>
                    <w:tr2bl w:val="nil"/>
                  </w:tcBorders>
                  <w:noWrap w:val="0"/>
                  <w:vAlign w:val="center"/>
                </w:tcPr>
                <w:p w14:paraId="5FC4994B">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000000" w:themeColor="text1"/>
                      <w:sz w:val="21"/>
                      <w:szCs w:val="21"/>
                      <w:highlight w:val="none"/>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HW49</w:t>
                  </w:r>
                </w:p>
              </w:tc>
              <w:tc>
                <w:tcPr>
                  <w:tcW w:w="849" w:type="pct"/>
                  <w:tcBorders>
                    <w:tl2br w:val="nil"/>
                    <w:tr2bl w:val="nil"/>
                  </w:tcBorders>
                  <w:noWrap w:val="0"/>
                  <w:vAlign w:val="center"/>
                </w:tcPr>
                <w:p w14:paraId="20915A1E">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t>900-041-49</w:t>
                  </w:r>
                </w:p>
              </w:tc>
              <w:tc>
                <w:tcPr>
                  <w:tcW w:w="564" w:type="pct"/>
                  <w:tcBorders>
                    <w:tl2br w:val="nil"/>
                    <w:tr2bl w:val="nil"/>
                  </w:tcBorders>
                  <w:noWrap w:val="0"/>
                  <w:vAlign w:val="center"/>
                </w:tcPr>
                <w:p w14:paraId="61462BF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0.01t/a</w:t>
                  </w:r>
                </w:p>
              </w:tc>
              <w:tc>
                <w:tcPr>
                  <w:tcW w:w="464" w:type="pct"/>
                  <w:vMerge w:val="continue"/>
                  <w:tcBorders>
                    <w:tl2br w:val="nil"/>
                    <w:tr2bl w:val="nil"/>
                  </w:tcBorders>
                  <w:noWrap w:val="0"/>
                  <w:vAlign w:val="center"/>
                </w:tcPr>
                <w:p w14:paraId="34AD0DB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14:textFill>
                        <w14:solidFill>
                          <w14:schemeClr w14:val="tx1"/>
                        </w14:solidFill>
                      </w14:textFill>
                    </w:rPr>
                  </w:pPr>
                </w:p>
              </w:tc>
              <w:tc>
                <w:tcPr>
                  <w:tcW w:w="303" w:type="pct"/>
                  <w:tcBorders>
                    <w:tl2br w:val="nil"/>
                    <w:tr2bl w:val="nil"/>
                  </w:tcBorders>
                  <w:noWrap w:val="0"/>
                  <w:vAlign w:val="center"/>
                </w:tcPr>
                <w:p w14:paraId="70EC1D6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固态</w:t>
                  </w:r>
                </w:p>
              </w:tc>
              <w:tc>
                <w:tcPr>
                  <w:tcW w:w="508" w:type="pct"/>
                  <w:vMerge w:val="continue"/>
                  <w:tcBorders>
                    <w:tl2br w:val="nil"/>
                    <w:tr2bl w:val="nil"/>
                  </w:tcBorders>
                  <w:noWrap w:val="0"/>
                  <w:vAlign w:val="center"/>
                </w:tcPr>
                <w:p w14:paraId="59104A3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p>
              </w:tc>
              <w:tc>
                <w:tcPr>
                  <w:tcW w:w="464" w:type="pct"/>
                  <w:vMerge w:val="continue"/>
                  <w:tcBorders>
                    <w:tl2br w:val="nil"/>
                    <w:tr2bl w:val="nil"/>
                  </w:tcBorders>
                  <w:noWrap w:val="0"/>
                  <w:vAlign w:val="center"/>
                </w:tcPr>
                <w:p w14:paraId="33D92393">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p>
              </w:tc>
              <w:tc>
                <w:tcPr>
                  <w:tcW w:w="826" w:type="pct"/>
                  <w:vMerge w:val="continue"/>
                  <w:tcBorders>
                    <w:tl2br w:val="nil"/>
                    <w:tr2bl w:val="nil"/>
                  </w:tcBorders>
                  <w:noWrap w:val="0"/>
                  <w:vAlign w:val="center"/>
                </w:tcPr>
                <w:p w14:paraId="08DE3E1E">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14:textFill>
                        <w14:solidFill>
                          <w14:schemeClr w14:val="tx1"/>
                        </w14:solidFill>
                      </w14:textFill>
                    </w:rPr>
                  </w:pPr>
                </w:p>
              </w:tc>
            </w:tr>
            <w:tr w14:paraId="2A1C76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l2br w:val="nil"/>
                    <w:tr2bl w:val="nil"/>
                  </w:tcBorders>
                  <w:noWrap w:val="0"/>
                  <w:vAlign w:val="center"/>
                </w:tcPr>
                <w:p w14:paraId="56535B71">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含油棉纱</w:t>
                  </w:r>
                </w:p>
              </w:tc>
              <w:tc>
                <w:tcPr>
                  <w:tcW w:w="558" w:type="pct"/>
                  <w:tcBorders>
                    <w:tl2br w:val="nil"/>
                    <w:tr2bl w:val="nil"/>
                  </w:tcBorders>
                  <w:noWrap w:val="0"/>
                  <w:vAlign w:val="center"/>
                </w:tcPr>
                <w:p w14:paraId="246FC687">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000000" w:themeColor="text1"/>
                      <w:sz w:val="21"/>
                      <w:szCs w:val="21"/>
                      <w:highlight w:val="none"/>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HW49</w:t>
                  </w:r>
                </w:p>
              </w:tc>
              <w:tc>
                <w:tcPr>
                  <w:tcW w:w="849" w:type="pct"/>
                  <w:tcBorders>
                    <w:tl2br w:val="nil"/>
                    <w:tr2bl w:val="nil"/>
                  </w:tcBorders>
                  <w:noWrap w:val="0"/>
                  <w:vAlign w:val="center"/>
                </w:tcPr>
                <w:p w14:paraId="30AE93C1">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t>900-041-49</w:t>
                  </w:r>
                </w:p>
              </w:tc>
              <w:tc>
                <w:tcPr>
                  <w:tcW w:w="564" w:type="pct"/>
                  <w:tcBorders>
                    <w:tl2br w:val="nil"/>
                    <w:tr2bl w:val="nil"/>
                  </w:tcBorders>
                  <w:noWrap w:val="0"/>
                  <w:vAlign w:val="center"/>
                </w:tcPr>
                <w:p w14:paraId="1785FC78">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0.005t/a</w:t>
                  </w:r>
                </w:p>
              </w:tc>
              <w:tc>
                <w:tcPr>
                  <w:tcW w:w="464" w:type="pct"/>
                  <w:vMerge w:val="continue"/>
                  <w:tcBorders>
                    <w:tl2br w:val="nil"/>
                    <w:tr2bl w:val="nil"/>
                  </w:tcBorders>
                  <w:noWrap w:val="0"/>
                  <w:vAlign w:val="center"/>
                </w:tcPr>
                <w:p w14:paraId="07D3F10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14:textFill>
                        <w14:solidFill>
                          <w14:schemeClr w14:val="tx1"/>
                        </w14:solidFill>
                      </w14:textFill>
                    </w:rPr>
                  </w:pPr>
                </w:p>
              </w:tc>
              <w:tc>
                <w:tcPr>
                  <w:tcW w:w="303" w:type="pct"/>
                  <w:tcBorders>
                    <w:tl2br w:val="nil"/>
                    <w:tr2bl w:val="nil"/>
                  </w:tcBorders>
                  <w:noWrap w:val="0"/>
                  <w:vAlign w:val="center"/>
                </w:tcPr>
                <w:p w14:paraId="14A13F5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固态</w:t>
                  </w:r>
                </w:p>
              </w:tc>
              <w:tc>
                <w:tcPr>
                  <w:tcW w:w="508" w:type="pct"/>
                  <w:vMerge w:val="continue"/>
                  <w:tcBorders>
                    <w:tl2br w:val="nil"/>
                    <w:tr2bl w:val="nil"/>
                  </w:tcBorders>
                  <w:noWrap w:val="0"/>
                  <w:vAlign w:val="center"/>
                </w:tcPr>
                <w:p w14:paraId="27A75B7E">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p>
              </w:tc>
              <w:tc>
                <w:tcPr>
                  <w:tcW w:w="464" w:type="pct"/>
                  <w:vMerge w:val="continue"/>
                  <w:tcBorders>
                    <w:tl2br w:val="nil"/>
                    <w:tr2bl w:val="nil"/>
                  </w:tcBorders>
                  <w:noWrap w:val="0"/>
                  <w:vAlign w:val="center"/>
                </w:tcPr>
                <w:p w14:paraId="5671C91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p>
              </w:tc>
              <w:tc>
                <w:tcPr>
                  <w:tcW w:w="826" w:type="pct"/>
                  <w:vMerge w:val="continue"/>
                  <w:tcBorders>
                    <w:tl2br w:val="nil"/>
                    <w:tr2bl w:val="nil"/>
                  </w:tcBorders>
                  <w:noWrap w:val="0"/>
                  <w:vAlign w:val="center"/>
                </w:tcPr>
                <w:p w14:paraId="358E38A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14:textFill>
                        <w14:solidFill>
                          <w14:schemeClr w14:val="tx1"/>
                        </w14:solidFill>
                      </w14:textFill>
                    </w:rPr>
                  </w:pPr>
                </w:p>
              </w:tc>
            </w:tr>
            <w:tr w14:paraId="5EF1C3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l2br w:val="nil"/>
                    <w:tr2bl w:val="nil"/>
                  </w:tcBorders>
                  <w:noWrap w:val="0"/>
                  <w:vAlign w:val="center"/>
                </w:tcPr>
                <w:p w14:paraId="73146BF4">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废导热油</w:t>
                  </w:r>
                </w:p>
              </w:tc>
              <w:tc>
                <w:tcPr>
                  <w:tcW w:w="558" w:type="pct"/>
                  <w:tcBorders>
                    <w:tl2br w:val="nil"/>
                    <w:tr2bl w:val="nil"/>
                  </w:tcBorders>
                  <w:noWrap w:val="0"/>
                  <w:vAlign w:val="center"/>
                </w:tcPr>
                <w:p w14:paraId="72BA7BC0">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ascii="Times New Roman" w:hAnsi="Times New Roman" w:eastAsia="宋体" w:cs="宋体"/>
                      <w:caps w:val="0"/>
                      <w:color w:val="000000" w:themeColor="text1"/>
                      <w:sz w:val="21"/>
                      <w:szCs w:val="21"/>
                      <w:highlight w:val="none"/>
                      <w14:textFill>
                        <w14:solidFill>
                          <w14:schemeClr w14:val="tx1"/>
                        </w14:solidFill>
                      </w14:textFill>
                    </w:rPr>
                    <w:t>HW</w:t>
                  </w: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08</w:t>
                  </w:r>
                </w:p>
              </w:tc>
              <w:tc>
                <w:tcPr>
                  <w:tcW w:w="849" w:type="pct"/>
                  <w:tcBorders>
                    <w:tl2br w:val="nil"/>
                    <w:tr2bl w:val="nil"/>
                  </w:tcBorders>
                  <w:noWrap w:val="0"/>
                  <w:vAlign w:val="center"/>
                </w:tcPr>
                <w:p w14:paraId="1164DE03">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t>900-249-08</w:t>
                  </w:r>
                </w:p>
              </w:tc>
              <w:tc>
                <w:tcPr>
                  <w:tcW w:w="564" w:type="pct"/>
                  <w:tcBorders>
                    <w:tl2br w:val="nil"/>
                    <w:tr2bl w:val="nil"/>
                  </w:tcBorders>
                  <w:noWrap w:val="0"/>
                  <w:vAlign w:val="center"/>
                </w:tcPr>
                <w:p w14:paraId="718D1674">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cs="宋体"/>
                      <w:bCs/>
                      <w:caps w:val="0"/>
                      <w:color w:val="000000" w:themeColor="text1"/>
                      <w:sz w:val="21"/>
                      <w:szCs w:val="21"/>
                      <w:highlight w:val="none"/>
                      <w:lang w:val="en-US" w:eastAsia="zh-CN"/>
                      <w14:textFill>
                        <w14:solidFill>
                          <w14:schemeClr w14:val="tx1"/>
                        </w14:solidFill>
                      </w14:textFill>
                    </w:rPr>
                    <w:t>5</w:t>
                  </w: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t/5a</w:t>
                  </w:r>
                </w:p>
              </w:tc>
              <w:tc>
                <w:tcPr>
                  <w:tcW w:w="464" w:type="pct"/>
                  <w:vMerge w:val="continue"/>
                  <w:tcBorders>
                    <w:tl2br w:val="nil"/>
                    <w:tr2bl w:val="nil"/>
                  </w:tcBorders>
                  <w:noWrap w:val="0"/>
                  <w:vAlign w:val="center"/>
                </w:tcPr>
                <w:p w14:paraId="79F34658">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14:textFill>
                        <w14:solidFill>
                          <w14:schemeClr w14:val="tx1"/>
                        </w14:solidFill>
                      </w14:textFill>
                    </w:rPr>
                  </w:pPr>
                </w:p>
              </w:tc>
              <w:tc>
                <w:tcPr>
                  <w:tcW w:w="303" w:type="pct"/>
                  <w:tcBorders>
                    <w:tl2br w:val="nil"/>
                    <w:tr2bl w:val="nil"/>
                  </w:tcBorders>
                  <w:noWrap w:val="0"/>
                  <w:vAlign w:val="center"/>
                </w:tcPr>
                <w:p w14:paraId="2F81FFF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液态</w:t>
                  </w:r>
                </w:p>
              </w:tc>
              <w:tc>
                <w:tcPr>
                  <w:tcW w:w="508" w:type="pct"/>
                  <w:vMerge w:val="continue"/>
                  <w:tcBorders>
                    <w:tl2br w:val="nil"/>
                    <w:tr2bl w:val="nil"/>
                  </w:tcBorders>
                  <w:noWrap w:val="0"/>
                  <w:vAlign w:val="center"/>
                </w:tcPr>
                <w:p w14:paraId="2B146370">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p>
              </w:tc>
              <w:tc>
                <w:tcPr>
                  <w:tcW w:w="464" w:type="pct"/>
                  <w:tcBorders>
                    <w:tl2br w:val="nil"/>
                    <w:tr2bl w:val="nil"/>
                  </w:tcBorders>
                  <w:noWrap w:val="0"/>
                  <w:vAlign w:val="center"/>
                </w:tcPr>
                <w:p w14:paraId="17724657">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bCs/>
                      <w:caps w:val="0"/>
                      <w:color w:val="000000" w:themeColor="text1"/>
                      <w:sz w:val="21"/>
                      <w:szCs w:val="21"/>
                      <w:highlight w:val="none"/>
                      <w:lang w:val="en-US" w:eastAsia="zh-CN"/>
                      <w14:textFill>
                        <w14:solidFill>
                          <w14:schemeClr w14:val="tx1"/>
                        </w14:solidFill>
                      </w14:textFill>
                    </w:rPr>
                    <w:t>1次/5年</w:t>
                  </w:r>
                </w:p>
              </w:tc>
              <w:tc>
                <w:tcPr>
                  <w:tcW w:w="826" w:type="pct"/>
                  <w:vMerge w:val="continue"/>
                  <w:tcBorders>
                    <w:tl2br w:val="nil"/>
                    <w:tr2bl w:val="nil"/>
                  </w:tcBorders>
                  <w:noWrap w:val="0"/>
                  <w:vAlign w:val="center"/>
                </w:tcPr>
                <w:p w14:paraId="7F83214F">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000000" w:themeColor="text1"/>
                      <w:sz w:val="21"/>
                      <w:szCs w:val="21"/>
                      <w:highlight w:val="none"/>
                      <w14:textFill>
                        <w14:solidFill>
                          <w14:schemeClr w14:val="tx1"/>
                        </w14:solidFill>
                      </w14:textFill>
                    </w:rPr>
                  </w:pPr>
                </w:p>
              </w:tc>
            </w:tr>
          </w:tbl>
          <w:p w14:paraId="13122BC3">
            <w:pPr>
              <w:adjustRightInd w:val="0"/>
              <w:snapToGrid w:val="0"/>
              <w:spacing w:line="360" w:lineRule="auto"/>
              <w:ind w:firstLine="480" w:firstLineChars="200"/>
              <w:rPr>
                <w:rFonts w:hint="default" w:ascii="Times New Roman" w:hAnsi="Times New Roman" w:eastAsia="宋体" w:cs="宋体"/>
                <w:caps w:val="0"/>
                <w:color w:val="000000" w:themeColor="text1"/>
                <w:sz w:val="24"/>
                <w:highlight w:val="none"/>
                <w14:textFill>
                  <w14:solidFill>
                    <w14:schemeClr w14:val="tx1"/>
                  </w14:solidFill>
                </w14:textFill>
              </w:rPr>
            </w:pPr>
            <w:r>
              <w:rPr>
                <w:rFonts w:hint="eastAsia" w:ascii="Times New Roman" w:hAnsi="Times New Roman" w:eastAsia="宋体" w:cs="宋体"/>
                <w:caps w:val="0"/>
                <w:color w:val="000000" w:themeColor="text1"/>
                <w:kern w:val="0"/>
                <w:sz w:val="24"/>
                <w:highlight w:val="none"/>
                <w14:textFill>
                  <w14:solidFill>
                    <w14:schemeClr w14:val="tx1"/>
                  </w14:solidFill>
                </w14:textFill>
              </w:rPr>
              <w:t>4</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kern w:val="0"/>
                <w:sz w:val="24"/>
                <w:highlight w:val="none"/>
                <w14:textFill>
                  <w14:solidFill>
                    <w14:schemeClr w14:val="tx1"/>
                  </w14:solidFill>
                </w14:textFill>
              </w:rPr>
              <w:t>2</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kern w:val="0"/>
                <w:sz w:val="24"/>
                <w:highlight w:val="none"/>
                <w:lang w:val="en-US" w:eastAsia="zh-CN"/>
                <w14:textFill>
                  <w14:solidFill>
                    <w14:schemeClr w14:val="tx1"/>
                  </w14:solidFill>
                </w14:textFill>
              </w:rPr>
              <w:t>2</w:t>
            </w:r>
            <w:r>
              <w:rPr>
                <w:rFonts w:hint="default" w:ascii="Times New Roman" w:hAnsi="Times New Roman" w:eastAsia="宋体" w:cs="宋体"/>
                <w:caps w:val="0"/>
                <w:color w:val="000000" w:themeColor="text1"/>
                <w:kern w:val="0"/>
                <w:sz w:val="24"/>
                <w:highlight w:val="none"/>
                <w14:textFill>
                  <w14:solidFill>
                    <w14:schemeClr w14:val="tx1"/>
                  </w14:solidFill>
                </w14:textFill>
              </w:rPr>
              <w:t>运输过程的环境影响</w:t>
            </w:r>
          </w:p>
          <w:p w14:paraId="07B0FF95">
            <w:pPr>
              <w:spacing w:line="360" w:lineRule="auto"/>
              <w:ind w:firstLine="480"/>
              <w:rPr>
                <w:rFonts w:hint="default" w:ascii="Times New Roman" w:hAnsi="Times New Roman" w:eastAsia="宋体" w:cs="宋体"/>
                <w:caps w:val="0"/>
                <w:color w:val="000000" w:themeColor="text1"/>
                <w:sz w:val="24"/>
                <w:highlight w:val="none"/>
                <w14:textFill>
                  <w14:solidFill>
                    <w14:schemeClr w14:val="tx1"/>
                  </w14:solidFill>
                </w14:textFill>
              </w:rPr>
            </w:pPr>
            <w:r>
              <w:rPr>
                <w:rFonts w:hint="default" w:ascii="Times New Roman" w:hAnsi="Times New Roman" w:eastAsia="宋体" w:cs="宋体"/>
                <w:caps w:val="0"/>
                <w:color w:val="000000" w:themeColor="text1"/>
                <w:kern w:val="0"/>
                <w:sz w:val="24"/>
                <w:highlight w:val="none"/>
                <w14:textFill>
                  <w14:solidFill>
                    <w14:schemeClr w14:val="tx1"/>
                  </w14:solidFill>
                </w14:textFill>
              </w:rPr>
              <w:t>本项目危险废物产生后均使用专用密闭容器收纳，不同危险废物需分类收集存放，及时转移至</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危废贮存点</w:t>
            </w:r>
            <w:r>
              <w:rPr>
                <w:rFonts w:hint="default" w:ascii="Times New Roman" w:hAnsi="Times New Roman" w:eastAsia="宋体" w:cs="宋体"/>
                <w:caps w:val="0"/>
                <w:color w:val="000000" w:themeColor="text1"/>
                <w:kern w:val="0"/>
                <w:sz w:val="24"/>
                <w:highlight w:val="none"/>
                <w14:textFill>
                  <w14:solidFill>
                    <w14:schemeClr w14:val="tx1"/>
                  </w14:solidFill>
                </w14:textFill>
              </w:rPr>
              <w:t>，</w:t>
            </w:r>
            <w:r>
              <w:rPr>
                <w:rFonts w:hint="default" w:ascii="Times New Roman" w:hAnsi="Times New Roman" w:eastAsia="宋体" w:cs="宋体"/>
                <w:caps w:val="0"/>
                <w:color w:val="000000" w:themeColor="text1"/>
                <w:sz w:val="24"/>
                <w:highlight w:val="none"/>
                <w14:textFill>
                  <w14:solidFill>
                    <w14:schemeClr w14:val="tx1"/>
                  </w14:solidFill>
                </w14:textFill>
              </w:rPr>
              <w:t>并在容器外表设置环境保护图形标志和警示标志</w:t>
            </w:r>
            <w:r>
              <w:rPr>
                <w:rFonts w:hint="default" w:ascii="Times New Roman" w:hAnsi="Times New Roman" w:eastAsia="宋体" w:cs="宋体"/>
                <w:caps w:val="0"/>
                <w:color w:val="000000" w:themeColor="text1"/>
                <w:kern w:val="0"/>
                <w:sz w:val="24"/>
                <w:highlight w:val="none"/>
                <w14:textFill>
                  <w14:solidFill>
                    <w14:schemeClr w14:val="tx1"/>
                  </w14:solidFill>
                </w14:textFill>
              </w:rPr>
              <w:t>。本项目产生的危险废物委托有相关处理资质单位进行处置，定期由具备相关运输资</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质的</w:t>
            </w:r>
            <w:r>
              <w:rPr>
                <w:rFonts w:hint="default" w:ascii="Times New Roman" w:hAnsi="Times New Roman" w:eastAsia="宋体" w:cs="宋体"/>
                <w:caps w:val="0"/>
                <w:color w:val="000000" w:themeColor="text1"/>
                <w:kern w:val="0"/>
                <w:sz w:val="24"/>
                <w:highlight w:val="none"/>
                <w14:textFill>
                  <w14:solidFill>
                    <w14:schemeClr w14:val="tx1"/>
                  </w14:solidFill>
                </w14:textFill>
              </w:rPr>
              <w:t>公司使用专用车辆运走，运输路线由管理部门指定，不会对运输沿线环境敏感点产生环境影响。</w:t>
            </w:r>
          </w:p>
          <w:p w14:paraId="417DA151">
            <w:pPr>
              <w:adjustRightInd w:val="0"/>
              <w:snapToGrid w:val="0"/>
              <w:spacing w:line="360" w:lineRule="auto"/>
              <w:ind w:firstLine="480" w:firstLineChars="200"/>
              <w:rPr>
                <w:rFonts w:hint="default" w:ascii="Times New Roman" w:hAnsi="Times New Roman" w:eastAsia="宋体" w:cs="宋体"/>
                <w:caps w:val="0"/>
                <w:color w:val="000000" w:themeColor="text1"/>
                <w:kern w:val="0"/>
                <w:sz w:val="24"/>
                <w:highlight w:val="none"/>
                <w14:textFill>
                  <w14:solidFill>
                    <w14:schemeClr w14:val="tx1"/>
                  </w14:solidFill>
                </w14:textFill>
              </w:rPr>
            </w:pPr>
            <w:r>
              <w:rPr>
                <w:rFonts w:hint="eastAsia" w:ascii="Times New Roman" w:hAnsi="Times New Roman" w:eastAsia="宋体" w:cs="宋体"/>
                <w:caps w:val="0"/>
                <w:color w:val="000000" w:themeColor="text1"/>
                <w:kern w:val="0"/>
                <w:sz w:val="24"/>
                <w:highlight w:val="none"/>
                <w14:textFill>
                  <w14:solidFill>
                    <w14:schemeClr w14:val="tx1"/>
                  </w14:solidFill>
                </w14:textFill>
              </w:rPr>
              <w:t>4</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kern w:val="0"/>
                <w:sz w:val="24"/>
                <w:highlight w:val="none"/>
                <w14:textFill>
                  <w14:solidFill>
                    <w14:schemeClr w14:val="tx1"/>
                  </w14:solidFill>
                </w14:textFill>
              </w:rPr>
              <w:t>2</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kern w:val="0"/>
                <w:sz w:val="24"/>
                <w:highlight w:val="none"/>
                <w:lang w:val="en-US" w:eastAsia="zh-CN"/>
                <w14:textFill>
                  <w14:solidFill>
                    <w14:schemeClr w14:val="tx1"/>
                  </w14:solidFill>
                </w14:textFill>
              </w:rPr>
              <w:t>3</w:t>
            </w:r>
            <w:r>
              <w:rPr>
                <w:rFonts w:hint="default" w:ascii="Times New Roman" w:hAnsi="Times New Roman" w:eastAsia="宋体" w:cs="宋体"/>
                <w:caps w:val="0"/>
                <w:color w:val="000000" w:themeColor="text1"/>
                <w:kern w:val="0"/>
                <w:sz w:val="24"/>
                <w:highlight w:val="none"/>
                <w14:textFill>
                  <w14:solidFill>
                    <w14:schemeClr w14:val="tx1"/>
                  </w14:solidFill>
                </w14:textFill>
              </w:rPr>
              <w:t>利用或者处置的环境影响分析</w:t>
            </w:r>
          </w:p>
          <w:p w14:paraId="43D8B211">
            <w:pPr>
              <w:adjustRightInd w:val="0"/>
              <w:snapToGrid w:val="0"/>
              <w:spacing w:line="360" w:lineRule="auto"/>
              <w:ind w:firstLine="480" w:firstLineChars="200"/>
              <w:rPr>
                <w:rFonts w:hint="default" w:ascii="Times New Roman" w:hAnsi="Times New Roman" w:eastAsia="宋体" w:cs="宋体"/>
                <w:caps w:val="0"/>
                <w:color w:val="000000" w:themeColor="text1"/>
                <w:kern w:val="0"/>
                <w:sz w:val="24"/>
                <w:highlight w:val="none"/>
                <w14:textFill>
                  <w14:solidFill>
                    <w14:schemeClr w14:val="tx1"/>
                  </w14:solidFill>
                </w14:textFill>
              </w:rPr>
            </w:pPr>
            <w:r>
              <w:rPr>
                <w:rFonts w:hint="default" w:ascii="Times New Roman" w:hAnsi="Times New Roman" w:eastAsia="宋体" w:cs="宋体"/>
                <w:caps w:val="0"/>
                <w:color w:val="000000" w:themeColor="text1"/>
                <w:kern w:val="0"/>
                <w:sz w:val="24"/>
                <w:highlight w:val="none"/>
                <w14:textFill>
                  <w14:solidFill>
                    <w14:schemeClr w14:val="tx1"/>
                  </w14:solidFill>
                </w14:textFill>
              </w:rPr>
              <w:t>本项目产生的危险废物委托具有相应处理资质的单位处置。该危险废物处置单位应当持有</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黑龙江省生态环境厅</w:t>
            </w:r>
            <w:r>
              <w:rPr>
                <w:rFonts w:hint="default" w:ascii="Times New Roman" w:hAnsi="Times New Roman" w:eastAsia="宋体" w:cs="宋体"/>
                <w:caps w:val="0"/>
                <w:color w:val="000000" w:themeColor="text1"/>
                <w:kern w:val="0"/>
                <w:sz w:val="24"/>
                <w:highlight w:val="none"/>
                <w14:textFill>
                  <w14:solidFill>
                    <w14:schemeClr w14:val="tx1"/>
                  </w14:solidFill>
                </w14:textFill>
              </w:rPr>
              <w:t>颁发的《危险废物经营许可证》，具有收集、运输、贮存、处理处置及综合利用能力，处理能力有足够余量。本项目产生的危险废物交具有相应处理资质的单位进行处置后，不会对环境产生显著不利影响。</w:t>
            </w:r>
          </w:p>
          <w:p w14:paraId="435DA2B7">
            <w:pPr>
              <w:adjustRightInd w:val="0"/>
              <w:snapToGrid w:val="0"/>
              <w:spacing w:line="360" w:lineRule="auto"/>
              <w:ind w:firstLine="480" w:firstLineChars="200"/>
              <w:rPr>
                <w:rFonts w:hint="default" w:ascii="Times New Roman" w:hAnsi="Times New Roman" w:eastAsia="宋体" w:cs="宋体"/>
                <w:caps w:val="0"/>
                <w:color w:val="000000" w:themeColor="text1"/>
                <w:kern w:val="0"/>
                <w:sz w:val="24"/>
                <w:highlight w:val="none"/>
                <w14:textFill>
                  <w14:solidFill>
                    <w14:schemeClr w14:val="tx1"/>
                  </w14:solidFill>
                </w14:textFill>
              </w:rPr>
            </w:pPr>
            <w:r>
              <w:rPr>
                <w:rFonts w:hint="eastAsia" w:ascii="Times New Roman" w:hAnsi="Times New Roman" w:eastAsia="宋体" w:cs="宋体"/>
                <w:caps w:val="0"/>
                <w:color w:val="000000" w:themeColor="text1"/>
                <w:kern w:val="0"/>
                <w:sz w:val="24"/>
                <w:highlight w:val="none"/>
                <w14:textFill>
                  <w14:solidFill>
                    <w14:schemeClr w14:val="tx1"/>
                  </w14:solidFill>
                </w14:textFill>
              </w:rPr>
              <w:t>4</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kern w:val="0"/>
                <w:sz w:val="24"/>
                <w:highlight w:val="none"/>
                <w14:textFill>
                  <w14:solidFill>
                    <w14:schemeClr w14:val="tx1"/>
                  </w14:solidFill>
                </w14:textFill>
              </w:rPr>
              <w:t>2</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kern w:val="0"/>
                <w:sz w:val="24"/>
                <w:highlight w:val="none"/>
                <w:lang w:val="en-US" w:eastAsia="zh-CN"/>
                <w14:textFill>
                  <w14:solidFill>
                    <w14:schemeClr w14:val="tx1"/>
                  </w14:solidFill>
                </w14:textFill>
              </w:rPr>
              <w:t>4</w:t>
            </w:r>
            <w:r>
              <w:rPr>
                <w:rFonts w:hint="default" w:ascii="Times New Roman" w:hAnsi="Times New Roman" w:eastAsia="宋体" w:cs="宋体"/>
                <w:caps w:val="0"/>
                <w:color w:val="000000" w:themeColor="text1"/>
                <w:kern w:val="0"/>
                <w:sz w:val="24"/>
                <w:highlight w:val="none"/>
                <w14:textFill>
                  <w14:solidFill>
                    <w14:schemeClr w14:val="tx1"/>
                  </w14:solidFill>
                </w14:textFill>
              </w:rPr>
              <w:t>危险废物环境管理要求</w:t>
            </w:r>
          </w:p>
          <w:p w14:paraId="2AF44755">
            <w:pPr>
              <w:adjustRightInd w:val="0"/>
              <w:snapToGrid w:val="0"/>
              <w:spacing w:line="360" w:lineRule="auto"/>
              <w:ind w:firstLine="480" w:firstLineChars="200"/>
              <w:rPr>
                <w:rFonts w:hint="default" w:ascii="Times New Roman" w:hAnsi="Times New Roman" w:eastAsia="宋体" w:cs="宋体"/>
                <w:caps w:val="0"/>
                <w:color w:val="000000" w:themeColor="text1"/>
                <w:kern w:val="0"/>
                <w:sz w:val="24"/>
                <w:highlight w:val="none"/>
                <w14:textFill>
                  <w14:solidFill>
                    <w14:schemeClr w14:val="tx1"/>
                  </w14:solidFill>
                </w14:textFill>
              </w:rPr>
            </w:pPr>
            <w:r>
              <w:rPr>
                <w:rFonts w:hint="default" w:ascii="Times New Roman" w:hAnsi="Times New Roman" w:eastAsia="宋体" w:cs="宋体"/>
                <w:caps w:val="0"/>
                <w:color w:val="000000" w:themeColor="text1"/>
                <w:kern w:val="0"/>
                <w:sz w:val="24"/>
                <w:highlight w:val="none"/>
                <w14:textFill>
                  <w14:solidFill>
                    <w14:schemeClr w14:val="tx1"/>
                  </w14:solidFill>
                </w14:textFill>
              </w:rPr>
              <w:t>建设单位运营过</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程中</w:t>
            </w:r>
            <w:r>
              <w:rPr>
                <w:rFonts w:hint="default" w:ascii="Times New Roman" w:hAnsi="Times New Roman" w:eastAsia="宋体" w:cs="宋体"/>
                <w:caps w:val="0"/>
                <w:color w:val="000000" w:themeColor="text1"/>
                <w:kern w:val="0"/>
                <w:sz w:val="24"/>
                <w:highlight w:val="none"/>
                <w14:textFill>
                  <w14:solidFill>
                    <w14:schemeClr w14:val="tx1"/>
                  </w14:solidFill>
                </w14:textFill>
              </w:rPr>
              <w:t>应该对本项目产生的危险废物从收集、贮存、运输、利用、处置各环节进行全过程的监管，各环节应严格执行《危险废物收集、贮存、运输技术规范》（HJ2025-2012）的相关要求。</w:t>
            </w:r>
          </w:p>
          <w:p w14:paraId="1AEF73EA">
            <w:pPr>
              <w:adjustRightInd w:val="0"/>
              <w:snapToGrid w:val="0"/>
              <w:spacing w:line="360" w:lineRule="auto"/>
              <w:ind w:firstLine="480" w:firstLineChars="200"/>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pPr>
            <w:r>
              <w:rPr>
                <w:rFonts w:hint="default" w:ascii="Times New Roman" w:hAnsi="Times New Roman" w:eastAsia="宋体" w:cs="宋体"/>
                <w:caps w:val="0"/>
                <w:color w:val="000000" w:themeColor="text1"/>
                <w:kern w:val="0"/>
                <w:sz w:val="24"/>
                <w:highlight w:val="none"/>
                <w14:textFill>
                  <w14:solidFill>
                    <w14:schemeClr w14:val="tx1"/>
                  </w14:solidFill>
                </w14:textFill>
              </w:rPr>
              <w:t>危险废物暂存过程中应满足《危险废物贮存污染控制标准》（GB18597-20</w:t>
            </w:r>
            <w:r>
              <w:rPr>
                <w:rFonts w:hint="eastAsia" w:ascii="Times New Roman" w:hAnsi="Times New Roman" w:eastAsia="宋体" w:cs="宋体"/>
                <w:caps w:val="0"/>
                <w:color w:val="000000" w:themeColor="text1"/>
                <w:kern w:val="0"/>
                <w:sz w:val="24"/>
                <w:highlight w:val="none"/>
                <w:lang w:val="en-US" w:eastAsia="zh-CN"/>
                <w14:textFill>
                  <w14:solidFill>
                    <w14:schemeClr w14:val="tx1"/>
                  </w14:solidFill>
                </w14:textFill>
              </w:rPr>
              <w:t>23</w:t>
            </w:r>
            <w:r>
              <w:rPr>
                <w:rFonts w:hint="default" w:ascii="Times New Roman" w:hAnsi="Times New Roman" w:eastAsia="宋体" w:cs="宋体"/>
                <w:caps w:val="0"/>
                <w:color w:val="000000" w:themeColor="text1"/>
                <w:kern w:val="0"/>
                <w:sz w:val="24"/>
                <w:highlight w:val="none"/>
                <w14:textFill>
                  <w14:solidFill>
                    <w14:schemeClr w14:val="tx1"/>
                  </w14:solidFill>
                </w14:textFill>
              </w:rPr>
              <w:t>）中的相关规定</w:t>
            </w:r>
            <w:r>
              <w:rPr>
                <w:rFonts w:hint="eastAsia" w:ascii="Times New Roman" w:hAnsi="Times New Roman" w:eastAsia="宋体" w:cs="宋体"/>
                <w:caps w:val="0"/>
                <w:color w:val="000000" w:themeColor="text1"/>
                <w:kern w:val="0"/>
                <w:sz w:val="24"/>
                <w:highlight w:val="none"/>
                <w:lang w:eastAsia="zh-CN"/>
                <w14:textFill>
                  <w14:solidFill>
                    <w14:schemeClr w14:val="tx1"/>
                  </w14:solidFill>
                </w14:textFill>
              </w:rPr>
              <w:t>。</w:t>
            </w:r>
          </w:p>
          <w:p w14:paraId="4AF0704B">
            <w:pPr>
              <w:bidi w:val="0"/>
              <w:rPr>
                <w:rFonts w:hint="eastAsia" w:ascii="Times New Roman" w:hAnsi="Times New Roman" w:eastAsia="宋体" w:cs="宋体"/>
                <w:caps w:val="0"/>
                <w:highlight w:val="none"/>
                <w:lang w:val="en-US" w:eastAsia="zh-CN"/>
              </w:rPr>
            </w:pPr>
            <w:r>
              <w:rPr>
                <w:rFonts w:hint="default" w:ascii="Times New Roman" w:hAnsi="Times New Roman" w:eastAsia="宋体" w:cs="宋体"/>
                <w:caps w:val="0"/>
                <w:highlight w:val="none"/>
                <w:lang w:val="en-US" w:eastAsia="zh-CN"/>
              </w:rPr>
              <w:t>由上述分析可知，项目产生的固体废物得到有效</w:t>
            </w:r>
            <w:r>
              <w:rPr>
                <w:rFonts w:hint="eastAsia" w:ascii="Times New Roman" w:hAnsi="Times New Roman" w:eastAsia="宋体" w:cs="宋体"/>
                <w:caps w:val="0"/>
                <w:highlight w:val="none"/>
                <w:lang w:val="en-US" w:eastAsia="zh-CN"/>
              </w:rPr>
              <w:t>地</w:t>
            </w:r>
            <w:r>
              <w:rPr>
                <w:rFonts w:hint="default" w:ascii="Times New Roman" w:hAnsi="Times New Roman" w:eastAsia="宋体" w:cs="宋体"/>
                <w:caps w:val="0"/>
                <w:highlight w:val="none"/>
                <w:lang w:val="en-US" w:eastAsia="zh-CN"/>
              </w:rPr>
              <w:t>处理处置，对外环境影响较小。</w:t>
            </w:r>
          </w:p>
          <w:p w14:paraId="6F2BF885">
            <w:pPr>
              <w:bidi w:val="0"/>
              <w:rPr>
                <w:rFonts w:hint="eastAsia" w:ascii="Times New Roman" w:hAnsi="Times New Roman" w:eastAsia="宋体" w:cs="宋体"/>
                <w:b/>
                <w:bCs w:val="0"/>
                <w:caps w:val="0"/>
                <w:highlight w:val="none"/>
                <w:lang w:val="en-US" w:eastAsia="zh-CN"/>
              </w:rPr>
            </w:pPr>
            <w:r>
              <w:rPr>
                <w:rFonts w:hint="eastAsia" w:ascii="Times New Roman" w:hAnsi="Times New Roman" w:eastAsia="宋体" w:cs="宋体"/>
                <w:b/>
                <w:bCs w:val="0"/>
                <w:caps w:val="0"/>
                <w:highlight w:val="none"/>
                <w:lang w:val="en-US" w:eastAsia="zh-CN"/>
              </w:rPr>
              <w:t>5.</w:t>
            </w:r>
            <w:r>
              <w:rPr>
                <w:rFonts w:hint="eastAsia" w:ascii="Times New Roman" w:hAnsi="Times New Roman" w:eastAsia="宋体" w:cs="宋体"/>
                <w:b/>
                <w:bCs w:val="0"/>
                <w:caps w:val="0"/>
                <w:highlight w:val="none"/>
              </w:rPr>
              <w:t>地下水</w:t>
            </w:r>
            <w:bookmarkEnd w:id="14"/>
            <w:bookmarkEnd w:id="15"/>
            <w:r>
              <w:rPr>
                <w:rFonts w:hint="eastAsia" w:ascii="Times New Roman" w:hAnsi="Times New Roman" w:eastAsia="宋体" w:cs="宋体"/>
                <w:b/>
                <w:bCs w:val="0"/>
                <w:caps w:val="0"/>
                <w:highlight w:val="none"/>
                <w:lang w:val="en-US" w:eastAsia="zh-CN"/>
              </w:rPr>
              <w:t>、</w:t>
            </w:r>
            <w:r>
              <w:rPr>
                <w:rFonts w:hint="eastAsia" w:ascii="Times New Roman" w:hAnsi="Times New Roman" w:eastAsia="宋体" w:cs="宋体"/>
                <w:b/>
                <w:bCs w:val="0"/>
                <w:caps w:val="0"/>
                <w:highlight w:val="none"/>
              </w:rPr>
              <w:t>土壤环境</w:t>
            </w:r>
          </w:p>
          <w:p w14:paraId="3CB3C28F">
            <w:pPr>
              <w:adjustRightInd w:val="0"/>
              <w:snapToGrid w:val="0"/>
              <w:spacing w:line="360" w:lineRule="auto"/>
              <w:ind w:firstLine="480" w:firstLineChars="200"/>
              <w:rPr>
                <w:rFonts w:ascii="Times New Roman" w:hAnsi="Times New Roman" w:eastAsia="宋体" w:cs="宋体"/>
                <w:caps w:val="0"/>
                <w:highlight w:val="none"/>
              </w:rPr>
            </w:pP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本项目</w:t>
            </w:r>
            <w:r>
              <w:rPr>
                <w:rFonts w:hint="eastAsia" w:ascii="Times New Roman" w:hAnsi="Times New Roman" w:eastAsia="宋体" w:cs="宋体"/>
                <w:caps w:val="0"/>
                <w:color w:val="000000" w:themeColor="text1"/>
                <w:sz w:val="24"/>
                <w:szCs w:val="24"/>
                <w:highlight w:val="none"/>
                <w:lang w:eastAsia="zh-CN"/>
                <w14:textFill>
                  <w14:solidFill>
                    <w14:schemeClr w14:val="tx1"/>
                  </w14:solidFill>
                </w14:textFill>
              </w:rPr>
              <w:t>危险废物贮存点</w:t>
            </w:r>
            <w:r>
              <w:rPr>
                <w:rFonts w:hint="eastAsia" w:ascii="Times New Roman" w:hAnsi="Times New Roman" w:eastAsia="宋体" w:cs="宋体"/>
                <w:caps w:val="0"/>
                <w:color w:val="000000" w:themeColor="text1"/>
                <w:sz w:val="24"/>
                <w:szCs w:val="24"/>
                <w:highlight w:val="none"/>
                <w14:textFill>
                  <w14:solidFill>
                    <w14:schemeClr w14:val="tx1"/>
                  </w14:solidFill>
                </w14:textFill>
              </w:rPr>
              <w:t>已做好防渗、防漏措施，则正常运行时不会发生污水下渗。项目运营过程中产生废气，主要污染物为颗粒物</w:t>
            </w:r>
            <w:r>
              <w:rPr>
                <w:rFonts w:hint="eastAsia" w:ascii="Times New Roman" w:hAnsi="Times New Roman" w:eastAsia="宋体" w:cs="宋体"/>
                <w:caps w:val="0"/>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二氧化硫和氮氧化物</w:t>
            </w:r>
            <w:r>
              <w:rPr>
                <w:rFonts w:hint="eastAsia" w:ascii="Times New Roman" w:hAnsi="Times New Roman" w:eastAsia="宋体" w:cs="宋体"/>
                <w:caps w:val="0"/>
                <w:color w:val="000000" w:themeColor="text1"/>
                <w:sz w:val="24"/>
                <w:szCs w:val="24"/>
                <w:highlight w:val="none"/>
                <w14:textFill>
                  <w14:solidFill>
                    <w14:schemeClr w14:val="tx1"/>
                  </w14:solidFill>
                </w14:textFill>
              </w:rPr>
              <w:t>，影响途径为大气沉降。</w:t>
            </w: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本</w:t>
            </w:r>
            <w:r>
              <w:rPr>
                <w:rFonts w:hint="eastAsia" w:ascii="Times New Roman" w:hAnsi="Times New Roman" w:eastAsia="宋体" w:cs="宋体"/>
                <w:caps w:val="0"/>
                <w:color w:val="000000" w:themeColor="text1"/>
                <w:sz w:val="24"/>
                <w:szCs w:val="24"/>
                <w:highlight w:val="none"/>
                <w14:textFill>
                  <w14:solidFill>
                    <w14:schemeClr w14:val="tx1"/>
                  </w14:solidFill>
                </w14:textFill>
              </w:rPr>
              <w:t>项目</w:t>
            </w:r>
            <w:r>
              <w:rPr>
                <w:rFonts w:hint="eastAsia" w:ascii="Times New Roman" w:hAnsi="Times New Roman" w:eastAsia="宋体" w:cs="宋体"/>
                <w:caps w:val="0"/>
                <w:highlight w:val="none"/>
                <w:lang w:eastAsia="zh-CN"/>
              </w:rPr>
              <w:t>产生</w:t>
            </w:r>
            <w:r>
              <w:rPr>
                <w:rFonts w:hint="eastAsia" w:ascii="Times New Roman" w:hAnsi="Times New Roman" w:eastAsia="宋体" w:cs="宋体"/>
                <w:caps w:val="0"/>
                <w:highlight w:val="none"/>
                <w:lang w:val="en-US" w:eastAsia="zh-CN"/>
              </w:rPr>
              <w:t>的废气</w:t>
            </w:r>
            <w:r>
              <w:rPr>
                <w:rFonts w:hint="eastAsia" w:ascii="Times New Roman" w:hAnsi="Times New Roman" w:eastAsia="宋体" w:cs="宋体"/>
                <w:caps w:val="0"/>
                <w:color w:val="000000" w:themeColor="text1"/>
                <w:sz w:val="24"/>
                <w:szCs w:val="24"/>
                <w:highlight w:val="none"/>
                <w14:textFill>
                  <w14:solidFill>
                    <w14:schemeClr w14:val="tx1"/>
                  </w14:solidFill>
                </w14:textFill>
              </w:rPr>
              <w:t>，经有效处理后均可达标排放，</w:t>
            </w:r>
            <w:r>
              <w:rPr>
                <w:rFonts w:hint="eastAsia" w:ascii="Times New Roman" w:hAnsi="Times New Roman" w:eastAsia="宋体" w:cs="宋体"/>
                <w:caps w:val="0"/>
                <w:color w:val="000000" w:themeColor="text1"/>
                <w:sz w:val="24"/>
                <w:szCs w:val="24"/>
                <w:highlight w:val="none"/>
                <w:lang w:val="en-US" w:eastAsia="zh-CN"/>
                <w14:textFill>
                  <w14:solidFill>
                    <w14:schemeClr w14:val="tx1"/>
                  </w14:solidFill>
                </w14:textFill>
              </w:rPr>
              <w:t>生产车间锅炉房内已</w:t>
            </w:r>
            <w:r>
              <w:rPr>
                <w:rFonts w:hint="eastAsia" w:ascii="Times New Roman" w:hAnsi="Times New Roman" w:eastAsia="宋体" w:cs="宋体"/>
                <w:caps w:val="0"/>
                <w:color w:val="000000" w:themeColor="text1"/>
                <w:sz w:val="24"/>
                <w:szCs w:val="24"/>
                <w:highlight w:val="none"/>
                <w14:textFill>
                  <w14:solidFill>
                    <w14:schemeClr w14:val="tx1"/>
                  </w14:solidFill>
                </w14:textFill>
              </w:rPr>
              <w:t>设置水泥硬底化，不会沉降到土壤和地下水当中。项目一般固废暂存间、</w:t>
            </w:r>
            <w:r>
              <w:rPr>
                <w:rFonts w:hint="eastAsia" w:ascii="Times New Roman" w:hAnsi="Times New Roman" w:eastAsia="宋体" w:cs="宋体"/>
                <w:caps w:val="0"/>
                <w:color w:val="000000" w:themeColor="text1"/>
                <w:sz w:val="24"/>
                <w:szCs w:val="24"/>
                <w:highlight w:val="none"/>
                <w:lang w:eastAsia="zh-CN"/>
                <w14:textFill>
                  <w14:solidFill>
                    <w14:schemeClr w14:val="tx1"/>
                  </w14:solidFill>
                </w14:textFill>
              </w:rPr>
              <w:t>危险废物贮存点</w:t>
            </w:r>
            <w:r>
              <w:rPr>
                <w:rFonts w:hint="eastAsia" w:ascii="Times New Roman" w:hAnsi="Times New Roman" w:eastAsia="宋体" w:cs="宋体"/>
                <w:caps w:val="0"/>
                <w:color w:val="000000" w:themeColor="text1"/>
                <w:sz w:val="24"/>
                <w:szCs w:val="24"/>
                <w:highlight w:val="none"/>
                <w14:textFill>
                  <w14:solidFill>
                    <w14:schemeClr w14:val="tx1"/>
                  </w14:solidFill>
                </w14:textFill>
              </w:rPr>
              <w:t>均在厂房内，厂房做好防风挡雨、防腐、防渗漏等措施，不存在下渗途径。综上所述，项目厂房范围已全部设置水泥硬底化，无污染和下渗途径，不涉及重金属和有毒有害物质排放，不存在土壤、地下水环境污染的情况，故不需要开展地下水、土壤跟踪监</w:t>
            </w:r>
            <w:r>
              <w:rPr>
                <w:rFonts w:hint="eastAsia" w:ascii="Times New Roman" w:hAnsi="Times New Roman" w:eastAsia="宋体" w:cs="宋体"/>
                <w:caps w:val="0"/>
                <w:color w:val="000000" w:themeColor="text1"/>
                <w:sz w:val="24"/>
                <w:szCs w:val="24"/>
                <w:highlight w:val="none"/>
                <w:lang w:eastAsia="zh-CN"/>
                <w14:textFill>
                  <w14:solidFill>
                    <w14:schemeClr w14:val="tx1"/>
                  </w14:solidFill>
                </w14:textFill>
              </w:rPr>
              <w:t>测污</w:t>
            </w:r>
            <w:r>
              <w:rPr>
                <w:rFonts w:hint="eastAsia" w:ascii="Times New Roman" w:hAnsi="Times New Roman" w:eastAsia="宋体" w:cs="宋体"/>
                <w:caps w:val="0"/>
                <w:color w:val="000000" w:themeColor="text1"/>
                <w:sz w:val="24"/>
                <w:szCs w:val="24"/>
                <w:highlight w:val="none"/>
                <w14:textFill>
                  <w14:solidFill>
                    <w14:schemeClr w14:val="tx1"/>
                  </w14:solidFill>
                </w14:textFill>
              </w:rPr>
              <w:t>染识别。</w:t>
            </w:r>
          </w:p>
          <w:p w14:paraId="685721DE">
            <w:pPr>
              <w:pStyle w:val="2"/>
              <w:keepNext w:val="0"/>
              <w:keepLines w:val="0"/>
              <w:pageBreakBefore w:val="0"/>
              <w:widowControl w:val="0"/>
              <w:kinsoku/>
              <w:wordWrap/>
              <w:overflowPunct/>
              <w:topLinePunct w:val="0"/>
              <w:autoSpaceDE/>
              <w:autoSpaceDN/>
              <w:bidi w:val="0"/>
              <w:adjustRightInd w:val="0"/>
              <w:snapToGrid w:val="0"/>
              <w:spacing w:after="0"/>
              <w:ind w:left="0" w:leftChars="0" w:firstLine="480" w:firstLineChars="200"/>
              <w:textAlignment w:val="auto"/>
              <w:rPr>
                <w:rFonts w:hint="default" w:ascii="Times New Roman" w:hAnsi="Times New Roman" w:eastAsia="宋体" w:cs="宋体"/>
                <w:caps w:val="0"/>
                <w:highlight w:val="none"/>
                <w:lang w:val="en-US" w:eastAsia="zh-CN"/>
              </w:rPr>
            </w:pPr>
            <w:r>
              <w:rPr>
                <w:rFonts w:hint="eastAsia" w:ascii="Times New Roman" w:hAnsi="Times New Roman" w:eastAsia="宋体" w:cs="宋体"/>
                <w:caps w:val="0"/>
                <w:highlight w:val="none"/>
                <w:lang w:val="en-US" w:eastAsia="zh-CN"/>
              </w:rPr>
              <w:t>本项目针对不同区域开展分区防渗，其中本项目</w:t>
            </w:r>
            <w:r>
              <w:rPr>
                <w:rFonts w:hint="eastAsia" w:ascii="Times New Roman" w:hAnsi="Times New Roman" w:eastAsia="宋体" w:cs="宋体"/>
                <w:caps w:val="0"/>
                <w:color w:val="auto"/>
                <w:sz w:val="24"/>
                <w:szCs w:val="24"/>
                <w:highlight w:val="none"/>
                <w:lang w:val="en-US" w:eastAsia="zh-CN"/>
              </w:rPr>
              <w:t>锅炉房、</w:t>
            </w:r>
            <w:r>
              <w:rPr>
                <w:rFonts w:hint="eastAsia" w:cs="宋体"/>
                <w:caps w:val="0"/>
                <w:color w:val="auto"/>
                <w:sz w:val="24"/>
                <w:szCs w:val="24"/>
                <w:highlight w:val="none"/>
                <w:lang w:val="en-US" w:eastAsia="zh-CN"/>
              </w:rPr>
              <w:t>燃料储罐</w:t>
            </w:r>
            <w:r>
              <w:rPr>
                <w:rFonts w:hint="eastAsia" w:ascii="Times New Roman" w:hAnsi="Times New Roman" w:eastAsia="宋体" w:cs="宋体"/>
                <w:caps w:val="0"/>
                <w:color w:val="auto"/>
                <w:sz w:val="24"/>
                <w:szCs w:val="24"/>
                <w:highlight w:val="none"/>
                <w:lang w:val="en-US" w:eastAsia="zh-CN"/>
              </w:rPr>
              <w:t>和</w:t>
            </w:r>
            <w:r>
              <w:rPr>
                <w:rFonts w:hint="eastAsia" w:cs="宋体"/>
                <w:caps w:val="0"/>
                <w:color w:val="auto"/>
                <w:sz w:val="24"/>
                <w:szCs w:val="24"/>
                <w:highlight w:val="none"/>
                <w:lang w:val="en-US" w:eastAsia="zh-CN"/>
              </w:rPr>
              <w:t>燃料储罐</w:t>
            </w:r>
            <w:r>
              <w:rPr>
                <w:rFonts w:hint="eastAsia" w:ascii="Times New Roman" w:hAnsi="Times New Roman" w:eastAsia="宋体" w:cs="宋体"/>
                <w:caps w:val="0"/>
                <w:color w:val="auto"/>
                <w:sz w:val="24"/>
                <w:szCs w:val="24"/>
                <w:highlight w:val="none"/>
                <w:lang w:val="en-US" w:eastAsia="zh-CN"/>
              </w:rPr>
              <w:t>北侧的事故池（15m</w:t>
            </w:r>
            <w:r>
              <w:rPr>
                <w:rFonts w:hint="eastAsia" w:ascii="Times New Roman" w:hAnsi="Times New Roman" w:eastAsia="宋体" w:cs="宋体"/>
                <w:caps w:val="0"/>
                <w:color w:val="auto"/>
                <w:sz w:val="24"/>
                <w:szCs w:val="24"/>
                <w:highlight w:val="none"/>
                <w:vertAlign w:val="superscript"/>
                <w:lang w:val="en-US" w:eastAsia="zh-CN"/>
              </w:rPr>
              <w:t>3</w:t>
            </w:r>
            <w:r>
              <w:rPr>
                <w:rFonts w:hint="eastAsia" w:ascii="Times New Roman" w:hAnsi="Times New Roman" w:eastAsia="宋体" w:cs="宋体"/>
                <w:caps w:val="0"/>
                <w:color w:val="auto"/>
                <w:sz w:val="24"/>
                <w:szCs w:val="24"/>
                <w:highlight w:val="none"/>
                <w:lang w:val="en-US" w:eastAsia="zh-CN"/>
              </w:rPr>
              <w:t>）</w:t>
            </w:r>
            <w:r>
              <w:rPr>
                <w:rFonts w:hint="eastAsia" w:ascii="Times New Roman" w:hAnsi="Times New Roman" w:eastAsia="宋体" w:cs="宋体"/>
                <w:caps w:val="0"/>
                <w:color w:val="auto"/>
                <w:sz w:val="24"/>
                <w:szCs w:val="24"/>
                <w:highlight w:val="none"/>
              </w:rPr>
              <w:t>防渗按等效粘土层厚度要≥6</w:t>
            </w:r>
            <w:r>
              <w:rPr>
                <w:rFonts w:hint="eastAsia" w:ascii="Times New Roman" w:hAnsi="Times New Roman" w:eastAsia="宋体" w:cs="宋体"/>
                <w:caps w:val="0"/>
                <w:color w:val="auto"/>
                <w:sz w:val="24"/>
                <w:szCs w:val="24"/>
                <w:highlight w:val="none"/>
                <w:lang w:eastAsia="zh-CN"/>
              </w:rPr>
              <w:t>.</w:t>
            </w:r>
            <w:r>
              <w:rPr>
                <w:rFonts w:hint="eastAsia" w:ascii="Times New Roman" w:hAnsi="Times New Roman" w:eastAsia="宋体" w:cs="宋体"/>
                <w:caps w:val="0"/>
                <w:color w:val="auto"/>
                <w:sz w:val="24"/>
                <w:szCs w:val="24"/>
                <w:highlight w:val="none"/>
              </w:rPr>
              <w:t>0m，满足渗透系数K≤1</w:t>
            </w:r>
            <w:r>
              <w:rPr>
                <w:rFonts w:hint="eastAsia" w:ascii="Times New Roman" w:hAnsi="Times New Roman" w:eastAsia="宋体" w:cs="宋体"/>
                <w:caps w:val="0"/>
                <w:color w:val="auto"/>
                <w:sz w:val="24"/>
                <w:szCs w:val="24"/>
                <w:highlight w:val="none"/>
                <w:lang w:eastAsia="zh-CN"/>
              </w:rPr>
              <w:t>.</w:t>
            </w:r>
            <w:r>
              <w:rPr>
                <w:rFonts w:hint="eastAsia" w:ascii="Times New Roman" w:hAnsi="Times New Roman" w:eastAsia="宋体" w:cs="宋体"/>
                <w:caps w:val="0"/>
                <w:color w:val="auto"/>
                <w:sz w:val="24"/>
                <w:szCs w:val="24"/>
                <w:highlight w:val="none"/>
              </w:rPr>
              <w:t>0×10</w:t>
            </w:r>
            <w:r>
              <w:rPr>
                <w:rFonts w:hint="eastAsia" w:ascii="Times New Roman" w:hAnsi="Times New Roman" w:eastAsia="宋体" w:cs="宋体"/>
                <w:caps w:val="0"/>
                <w:color w:val="auto"/>
                <w:sz w:val="24"/>
                <w:szCs w:val="24"/>
                <w:highlight w:val="none"/>
                <w:vertAlign w:val="superscript"/>
              </w:rPr>
              <w:t>-7</w:t>
            </w:r>
            <w:r>
              <w:rPr>
                <w:rFonts w:hint="eastAsia" w:ascii="Times New Roman" w:hAnsi="Times New Roman" w:eastAsia="宋体" w:cs="宋体"/>
                <w:caps w:val="0"/>
                <w:color w:val="auto"/>
                <w:sz w:val="24"/>
                <w:szCs w:val="24"/>
                <w:highlight w:val="none"/>
              </w:rPr>
              <w:t>cm/s设计；防渗粘土层（至少1m厚）上部及侧面铺设1</w:t>
            </w:r>
            <w:r>
              <w:rPr>
                <w:rFonts w:hint="eastAsia" w:ascii="Times New Roman" w:hAnsi="Times New Roman" w:eastAsia="宋体" w:cs="宋体"/>
                <w:caps w:val="0"/>
                <w:color w:val="auto"/>
                <w:sz w:val="24"/>
                <w:szCs w:val="24"/>
                <w:highlight w:val="none"/>
                <w:lang w:eastAsia="zh-CN"/>
              </w:rPr>
              <w:t>.</w:t>
            </w:r>
            <w:r>
              <w:rPr>
                <w:rFonts w:hint="eastAsia" w:ascii="Times New Roman" w:hAnsi="Times New Roman" w:eastAsia="宋体" w:cs="宋体"/>
                <w:caps w:val="0"/>
                <w:color w:val="auto"/>
                <w:sz w:val="24"/>
                <w:szCs w:val="24"/>
                <w:highlight w:val="none"/>
              </w:rPr>
              <w:t>0mm高密度聚乙烯（HDPE）防渗膜（渗透系数K≤10</w:t>
            </w:r>
            <w:r>
              <w:rPr>
                <w:rFonts w:hint="eastAsia" w:ascii="Times New Roman" w:hAnsi="Times New Roman" w:eastAsia="宋体" w:cs="宋体"/>
                <w:caps w:val="0"/>
                <w:color w:val="auto"/>
                <w:sz w:val="24"/>
                <w:szCs w:val="24"/>
                <w:highlight w:val="none"/>
                <w:vertAlign w:val="superscript"/>
              </w:rPr>
              <w:t>-12</w:t>
            </w:r>
            <w:r>
              <w:rPr>
                <w:rFonts w:hint="eastAsia" w:ascii="Times New Roman" w:hAnsi="Times New Roman" w:eastAsia="宋体" w:cs="宋体"/>
                <w:caps w:val="0"/>
                <w:color w:val="auto"/>
                <w:sz w:val="24"/>
                <w:szCs w:val="24"/>
                <w:highlight w:val="none"/>
              </w:rPr>
              <w:t>cm/s），防渗基础上进行水泥硬化，并喷涂防腐防酸漆。危废</w:t>
            </w:r>
            <w:r>
              <w:rPr>
                <w:rFonts w:hint="eastAsia" w:ascii="Times New Roman" w:hAnsi="Times New Roman" w:eastAsia="宋体" w:cs="宋体"/>
                <w:caps w:val="0"/>
                <w:color w:val="auto"/>
                <w:sz w:val="24"/>
                <w:szCs w:val="24"/>
                <w:highlight w:val="none"/>
                <w:lang w:val="en-US" w:eastAsia="zh-CN"/>
              </w:rPr>
              <w:t>贮存点</w:t>
            </w:r>
            <w:r>
              <w:rPr>
                <w:rFonts w:hint="eastAsia" w:ascii="Times New Roman" w:hAnsi="Times New Roman" w:eastAsia="宋体" w:cs="宋体"/>
                <w:caps w:val="0"/>
                <w:color w:val="auto"/>
                <w:sz w:val="24"/>
                <w:szCs w:val="24"/>
                <w:highlight w:val="none"/>
              </w:rPr>
              <w:t>按照《危险废物贮存污染控制标准》（GB18597-2023）中的要求设计防渗方案：</w:t>
            </w:r>
            <w:r>
              <w:rPr>
                <w:rFonts w:hint="eastAsia" w:ascii="Times New Roman" w:hAnsi="Times New Roman" w:eastAsia="宋体" w:cs="宋体"/>
                <w:bCs w:val="0"/>
                <w:caps w:val="0"/>
                <w:color w:val="auto"/>
                <w:spacing w:val="0"/>
                <w:kern w:val="2"/>
                <w:sz w:val="24"/>
                <w:szCs w:val="24"/>
                <w:highlight w:val="none"/>
                <w:lang w:val="en-US" w:eastAsia="zh-CN" w:bidi="ar-SA"/>
              </w:rPr>
              <w:t>采用高密度聚乙烯膜（HDPE）进行基础防渗措施，防渗技术要求达到等效粘土防渗层Mb≥2.0mm，K≤1×10</w:t>
            </w:r>
            <w:r>
              <w:rPr>
                <w:rFonts w:hint="eastAsia" w:ascii="Times New Roman" w:hAnsi="Times New Roman" w:eastAsia="宋体" w:cs="宋体"/>
                <w:bCs w:val="0"/>
                <w:caps w:val="0"/>
                <w:color w:val="auto"/>
                <w:spacing w:val="0"/>
                <w:kern w:val="2"/>
                <w:sz w:val="24"/>
                <w:szCs w:val="24"/>
                <w:highlight w:val="none"/>
                <w:vertAlign w:val="superscript"/>
                <w:lang w:val="en-US" w:eastAsia="zh-CN" w:bidi="ar-SA"/>
              </w:rPr>
              <w:t>-10</w:t>
            </w:r>
            <w:r>
              <w:rPr>
                <w:rFonts w:hint="eastAsia" w:ascii="Times New Roman" w:hAnsi="Times New Roman" w:eastAsia="宋体" w:cs="宋体"/>
                <w:bCs w:val="0"/>
                <w:caps w:val="0"/>
                <w:color w:val="auto"/>
                <w:spacing w:val="0"/>
                <w:kern w:val="2"/>
                <w:sz w:val="24"/>
                <w:szCs w:val="24"/>
                <w:highlight w:val="none"/>
                <w:lang w:val="en-US" w:eastAsia="zh-CN" w:bidi="ar-SA"/>
              </w:rPr>
              <w:t>cm/s</w:t>
            </w:r>
            <w:r>
              <w:rPr>
                <w:rFonts w:hint="eastAsia" w:ascii="Times New Roman" w:hAnsi="Times New Roman" w:eastAsia="宋体" w:cs="宋体"/>
                <w:caps w:val="0"/>
                <w:color w:val="auto"/>
                <w:sz w:val="24"/>
                <w:szCs w:val="24"/>
                <w:highlight w:val="none"/>
              </w:rPr>
              <w:t>。</w:t>
            </w:r>
            <w:r>
              <w:rPr>
                <w:rFonts w:hint="eastAsia" w:ascii="Times New Roman" w:hAnsi="Times New Roman" w:eastAsia="宋体" w:cs="宋体"/>
                <w:caps w:val="0"/>
                <w:spacing w:val="0"/>
                <w:sz w:val="24"/>
                <w:szCs w:val="24"/>
                <w:highlight w:val="none"/>
                <w:lang w:val="en-US" w:eastAsia="zh-CN"/>
              </w:rPr>
              <w:t>防渗等级达到《环境影响</w:t>
            </w:r>
            <w:r>
              <w:rPr>
                <w:rFonts w:hint="eastAsia" w:cs="宋体"/>
                <w:caps w:val="0"/>
                <w:spacing w:val="0"/>
                <w:sz w:val="24"/>
                <w:szCs w:val="24"/>
                <w:highlight w:val="none"/>
                <w:lang w:val="en-US" w:eastAsia="zh-CN"/>
              </w:rPr>
              <w:t>评价</w:t>
            </w:r>
            <w:r>
              <w:rPr>
                <w:rFonts w:hint="eastAsia" w:ascii="Times New Roman" w:hAnsi="Times New Roman" w:eastAsia="宋体" w:cs="宋体"/>
                <w:caps w:val="0"/>
                <w:spacing w:val="0"/>
                <w:sz w:val="24"/>
                <w:szCs w:val="24"/>
                <w:highlight w:val="none"/>
                <w:lang w:val="en-US" w:eastAsia="zh-CN"/>
              </w:rPr>
              <w:t>技术导则  地下水环境》（HJ610-2016）重点防渗技术要求。生产车间为一般防渗，防渗技术要求达到</w:t>
            </w:r>
            <w:r>
              <w:rPr>
                <w:rFonts w:hint="eastAsia" w:ascii="Times New Roman" w:hAnsi="Times New Roman" w:eastAsia="宋体" w:cs="宋体"/>
                <w:caps w:val="0"/>
                <w:spacing w:val="0"/>
                <w:sz w:val="24"/>
                <w:szCs w:val="24"/>
                <w:highlight w:val="none"/>
              </w:rPr>
              <w:t>等效粘土防渗层Mb≥</w:t>
            </w:r>
            <w:r>
              <w:rPr>
                <w:rFonts w:hint="eastAsia" w:ascii="Times New Roman" w:hAnsi="Times New Roman" w:eastAsia="宋体" w:cs="宋体"/>
                <w:caps w:val="0"/>
                <w:spacing w:val="0"/>
                <w:sz w:val="24"/>
                <w:szCs w:val="24"/>
                <w:highlight w:val="none"/>
                <w:lang w:val="en-US" w:eastAsia="zh-CN"/>
              </w:rPr>
              <w:t>1.5</w:t>
            </w:r>
            <w:r>
              <w:rPr>
                <w:rFonts w:hint="eastAsia" w:ascii="Times New Roman" w:hAnsi="Times New Roman" w:eastAsia="宋体" w:cs="宋体"/>
                <w:caps w:val="0"/>
                <w:spacing w:val="0"/>
                <w:sz w:val="24"/>
                <w:szCs w:val="24"/>
                <w:highlight w:val="none"/>
              </w:rPr>
              <w:t>mm，K≤1×10</w:t>
            </w:r>
            <w:r>
              <w:rPr>
                <w:rFonts w:hint="eastAsia" w:ascii="Times New Roman" w:hAnsi="Times New Roman" w:eastAsia="宋体" w:cs="宋体"/>
                <w:caps w:val="0"/>
                <w:spacing w:val="0"/>
                <w:sz w:val="24"/>
                <w:szCs w:val="24"/>
                <w:highlight w:val="none"/>
                <w:vertAlign w:val="superscript"/>
              </w:rPr>
              <w:t>-</w:t>
            </w:r>
            <w:r>
              <w:rPr>
                <w:rFonts w:hint="eastAsia" w:ascii="Times New Roman" w:hAnsi="Times New Roman" w:eastAsia="宋体" w:cs="宋体"/>
                <w:caps w:val="0"/>
                <w:spacing w:val="0"/>
                <w:sz w:val="24"/>
                <w:szCs w:val="24"/>
                <w:highlight w:val="none"/>
                <w:vertAlign w:val="superscript"/>
                <w:lang w:val="en-US" w:eastAsia="zh-CN"/>
              </w:rPr>
              <w:t>7</w:t>
            </w:r>
            <w:r>
              <w:rPr>
                <w:rFonts w:hint="eastAsia" w:ascii="Times New Roman" w:hAnsi="Times New Roman" w:eastAsia="宋体" w:cs="宋体"/>
                <w:caps w:val="0"/>
                <w:spacing w:val="0"/>
                <w:sz w:val="24"/>
                <w:szCs w:val="24"/>
                <w:highlight w:val="none"/>
              </w:rPr>
              <w:t>cm/s</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lang w:val="en-US" w:eastAsia="zh-CN"/>
              </w:rPr>
              <w:t>防渗等级达到《环境影响评级技术导则  地下水环境》（HJ610-2016）一般防渗技术要求；其他地区采用简单防渗，防渗技术采用一般地面硬化。分区防渗图见附图6。</w:t>
            </w:r>
          </w:p>
          <w:p w14:paraId="2B4761D5">
            <w:pPr>
              <w:adjustRightInd w:val="0"/>
              <w:snapToGrid w:val="0"/>
              <w:spacing w:line="360" w:lineRule="auto"/>
              <w:ind w:firstLine="482" w:firstLineChars="200"/>
              <w:rPr>
                <w:rFonts w:ascii="Times New Roman" w:hAnsi="Times New Roman" w:eastAsia="宋体" w:cs="宋体"/>
                <w:b/>
                <w:caps w:val="0"/>
                <w:color w:val="000000" w:themeColor="text1"/>
                <w:sz w:val="24"/>
                <w:highlight w:val="none"/>
                <w14:textFill>
                  <w14:solidFill>
                    <w14:schemeClr w14:val="tx1"/>
                  </w14:solidFill>
                </w14:textFill>
              </w:rPr>
            </w:pPr>
            <w:r>
              <w:rPr>
                <w:rFonts w:hint="eastAsia" w:ascii="Times New Roman" w:hAnsi="Times New Roman" w:eastAsia="宋体" w:cs="宋体"/>
                <w:b/>
                <w:caps w:val="0"/>
                <w:color w:val="000000" w:themeColor="text1"/>
                <w:sz w:val="24"/>
                <w:highlight w:val="none"/>
                <w:lang w:val="en-US" w:eastAsia="zh-CN"/>
                <w14:textFill>
                  <w14:solidFill>
                    <w14:schemeClr w14:val="tx1"/>
                  </w14:solidFill>
                </w14:textFill>
              </w:rPr>
              <w:t>6.</w:t>
            </w:r>
            <w:r>
              <w:rPr>
                <w:rFonts w:hint="eastAsia" w:ascii="Times New Roman" w:hAnsi="Times New Roman" w:eastAsia="宋体" w:cs="宋体"/>
                <w:b/>
                <w:caps w:val="0"/>
                <w:color w:val="000000" w:themeColor="text1"/>
                <w:sz w:val="24"/>
                <w:highlight w:val="none"/>
                <w14:textFill>
                  <w14:solidFill>
                    <w14:schemeClr w14:val="tx1"/>
                  </w14:solidFill>
                </w14:textFill>
              </w:rPr>
              <w:t>环境风险</w:t>
            </w:r>
          </w:p>
          <w:p w14:paraId="3C4762EE">
            <w:pPr>
              <w:adjustRightInd w:val="0"/>
              <w:snapToGrid w:val="0"/>
              <w:spacing w:line="360" w:lineRule="auto"/>
              <w:ind w:firstLine="482" w:firstLineChars="200"/>
              <w:rPr>
                <w:rFonts w:hint="default" w:ascii="Times New Roman" w:hAnsi="Times New Roman" w:eastAsia="宋体" w:cs="宋体"/>
                <w:b/>
                <w:bCs/>
                <w:caps w:val="0"/>
                <w:color w:val="000000" w:themeColor="text1"/>
                <w:sz w:val="24"/>
                <w:highlight w:val="none"/>
                <w14:textFill>
                  <w14:solidFill>
                    <w14:schemeClr w14:val="tx1"/>
                  </w14:solidFill>
                </w14:textFill>
              </w:rPr>
            </w:pPr>
            <w:r>
              <w:rPr>
                <w:rFonts w:hint="eastAsia" w:ascii="Times New Roman" w:hAnsi="Times New Roman" w:eastAsia="宋体" w:cs="宋体"/>
                <w:b/>
                <w:bCs/>
                <w:caps w:val="0"/>
                <w:color w:val="000000" w:themeColor="text1"/>
                <w:sz w:val="24"/>
                <w:highlight w:val="none"/>
                <w:lang w:val="en-US" w:eastAsia="zh-CN"/>
                <w14:textFill>
                  <w14:solidFill>
                    <w14:schemeClr w14:val="tx1"/>
                  </w14:solidFill>
                </w14:textFill>
              </w:rPr>
              <w:t>6.1</w:t>
            </w:r>
            <w:r>
              <w:rPr>
                <w:rFonts w:hint="default" w:ascii="Times New Roman" w:hAnsi="Times New Roman" w:eastAsia="宋体" w:cs="宋体"/>
                <w:b/>
                <w:bCs/>
                <w:caps w:val="0"/>
                <w:color w:val="000000" w:themeColor="text1"/>
                <w:sz w:val="24"/>
                <w:highlight w:val="none"/>
                <w14:textFill>
                  <w14:solidFill>
                    <w14:schemeClr w14:val="tx1"/>
                  </w14:solidFill>
                </w14:textFill>
              </w:rPr>
              <w:t>风险物质分布及影响途径</w:t>
            </w:r>
          </w:p>
          <w:p w14:paraId="54A7688B">
            <w:pPr>
              <w:adjustRightInd w:val="0"/>
              <w:snapToGrid w:val="0"/>
              <w:spacing w:line="360" w:lineRule="auto"/>
              <w:ind w:firstLine="480" w:firstLineChars="200"/>
              <w:rPr>
                <w:rFonts w:hint="eastAsia" w:ascii="Times New Roman" w:hAnsi="Times New Roman" w:eastAsia="宋体" w:cs="宋体"/>
                <w:caps w:val="0"/>
                <w:color w:val="000000" w:themeColor="text1"/>
                <w:kern w:val="0"/>
                <w:sz w:val="24"/>
                <w:highlight w:val="none"/>
                <w14:textFill>
                  <w14:solidFill>
                    <w14:schemeClr w14:val="tx1"/>
                  </w14:solidFill>
                </w14:textFill>
              </w:rPr>
            </w:pPr>
            <w:r>
              <w:rPr>
                <w:rFonts w:hint="eastAsia" w:ascii="Times New Roman" w:hAnsi="Times New Roman" w:eastAsia="宋体" w:cs="宋体"/>
                <w:caps w:val="0"/>
                <w:color w:val="000000"/>
                <w:spacing w:val="0"/>
                <w:kern w:val="0"/>
                <w:sz w:val="24"/>
                <w:highlight w:val="none"/>
              </w:rPr>
              <w:t>根据《建设项目环境风险评价技术导则》（HJ 169-2018）风险源和危险物质的定义，</w:t>
            </w:r>
            <w:r>
              <w:rPr>
                <w:rFonts w:hint="eastAsia" w:ascii="Times New Roman" w:hAnsi="Times New Roman" w:eastAsia="宋体" w:cs="宋体"/>
                <w:caps w:val="0"/>
                <w:spacing w:val="0"/>
                <w:kern w:val="0"/>
                <w:sz w:val="24"/>
                <w:highlight w:val="none"/>
              </w:rPr>
              <w:t>根据本项目特点，本项目主要危险物质为</w:t>
            </w:r>
            <w:r>
              <w:rPr>
                <w:rFonts w:hint="eastAsia" w:ascii="Times New Roman" w:hAnsi="Times New Roman" w:eastAsia="宋体" w:cs="宋体"/>
                <w:caps w:val="0"/>
                <w:spacing w:val="0"/>
                <w:kern w:val="0"/>
                <w:sz w:val="24"/>
                <w:highlight w:val="none"/>
                <w:lang w:val="en-US" w:eastAsia="zh-CN"/>
              </w:rPr>
              <w:t>废机油，</w:t>
            </w:r>
            <w:r>
              <w:rPr>
                <w:rFonts w:hint="eastAsia" w:ascii="Times New Roman" w:hAnsi="Times New Roman" w:eastAsia="宋体" w:cs="宋体"/>
                <w:caps w:val="0"/>
                <w:spacing w:val="0"/>
                <w:kern w:val="0"/>
                <w:sz w:val="24"/>
                <w:highlight w:val="none"/>
              </w:rPr>
              <w:t>其危险特性见下表。</w:t>
            </w:r>
            <w:r>
              <w:rPr>
                <w:rFonts w:hint="eastAsia" w:ascii="Times New Roman" w:hAnsi="Times New Roman" w:eastAsia="宋体" w:cs="宋体"/>
                <w:caps w:val="0"/>
                <w:color w:val="000000" w:themeColor="text1"/>
                <w:kern w:val="0"/>
                <w:sz w:val="24"/>
                <w:highlight w:val="none"/>
                <w:lang w:val="en-US" w:eastAsia="zh-CN"/>
                <w14:textFill>
                  <w14:solidFill>
                    <w14:schemeClr w14:val="tx1"/>
                  </w14:solidFill>
                </w14:textFill>
              </w:rPr>
              <w:t>对照</w:t>
            </w:r>
            <w:r>
              <w:rPr>
                <w:rFonts w:hint="default" w:ascii="Times New Roman" w:hAnsi="Times New Roman" w:eastAsia="宋体" w:cs="宋体"/>
                <w:caps w:val="0"/>
                <w:color w:val="000000" w:themeColor="text1"/>
                <w:kern w:val="0"/>
                <w:sz w:val="24"/>
                <w:highlight w:val="none"/>
                <w14:textFill>
                  <w14:solidFill>
                    <w14:schemeClr w14:val="tx1"/>
                  </w14:solidFill>
                </w14:textFill>
              </w:rPr>
              <w:t>《建设项目环境风险评价技术导则》</w:t>
            </w:r>
            <w:r>
              <w:rPr>
                <w:rFonts w:hint="default" w:ascii="Times New Roman" w:hAnsi="Times New Roman" w:eastAsia="宋体" w:cs="宋体"/>
                <w:caps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宋体"/>
                <w:caps w:val="0"/>
                <w:color w:val="000000" w:themeColor="text1"/>
                <w:kern w:val="0"/>
                <w:sz w:val="24"/>
                <w:highlight w:val="none"/>
                <w14:textFill>
                  <w14:solidFill>
                    <w14:schemeClr w14:val="tx1"/>
                  </w14:solidFill>
                </w14:textFill>
              </w:rPr>
              <w:t>HJ169-2018</w:t>
            </w:r>
            <w:r>
              <w:rPr>
                <w:rFonts w:hint="default" w:ascii="Times New Roman" w:hAnsi="Times New Roman" w:eastAsia="宋体" w:cs="宋体"/>
                <w:caps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宋体"/>
                <w:caps w:val="0"/>
                <w:color w:val="000000" w:themeColor="text1"/>
                <w:kern w:val="0"/>
                <w:sz w:val="24"/>
                <w:highlight w:val="none"/>
                <w14:textFill>
                  <w14:solidFill>
                    <w14:schemeClr w14:val="tx1"/>
                  </w14:solidFill>
                </w14:textFill>
              </w:rPr>
              <w:t>附录B</w:t>
            </w:r>
            <w:r>
              <w:rPr>
                <w:rFonts w:hint="eastAsia" w:ascii="Times New Roman" w:hAnsi="Times New Roman" w:eastAsia="宋体" w:cs="宋体"/>
                <w:caps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宋体"/>
                <w:caps w:val="0"/>
                <w:color w:val="000000" w:themeColor="text1"/>
                <w:kern w:val="0"/>
                <w:sz w:val="24"/>
                <w:highlight w:val="none"/>
                <w14:textFill>
                  <w14:solidFill>
                    <w14:schemeClr w14:val="tx1"/>
                  </w14:solidFill>
                </w14:textFill>
              </w:rPr>
              <w:t>其分布情况见表4-1</w:t>
            </w:r>
            <w:r>
              <w:rPr>
                <w:rFonts w:hint="eastAsia" w:ascii="Times New Roman" w:hAnsi="Times New Roman" w:cs="宋体"/>
                <w:caps w:val="0"/>
                <w:color w:val="000000" w:themeColor="text1"/>
                <w:kern w:val="0"/>
                <w:sz w:val="24"/>
                <w:highlight w:val="none"/>
                <w:lang w:val="en-US" w:eastAsia="zh-CN"/>
                <w14:textFill>
                  <w14:solidFill>
                    <w14:schemeClr w14:val="tx1"/>
                  </w14:solidFill>
                </w14:textFill>
              </w:rPr>
              <w:t>4</w:t>
            </w:r>
            <w:r>
              <w:rPr>
                <w:rFonts w:hint="default" w:ascii="Times New Roman" w:hAnsi="Times New Roman" w:eastAsia="宋体" w:cs="宋体"/>
                <w:caps w:val="0"/>
                <w:color w:val="000000" w:themeColor="text1"/>
                <w:kern w:val="0"/>
                <w:sz w:val="24"/>
                <w:highlight w:val="none"/>
                <w14:textFill>
                  <w14:solidFill>
                    <w14:schemeClr w14:val="tx1"/>
                  </w14:solidFill>
                </w14:textFill>
              </w:rPr>
              <w:t>，可能影响途径见表4-</w:t>
            </w:r>
            <w:r>
              <w:rPr>
                <w:rFonts w:hint="eastAsia" w:ascii="Times New Roman" w:hAnsi="Times New Roman" w:eastAsia="宋体" w:cs="宋体"/>
                <w:caps w:val="0"/>
                <w:color w:val="000000" w:themeColor="text1"/>
                <w:kern w:val="0"/>
                <w:sz w:val="24"/>
                <w:highlight w:val="none"/>
                <w:lang w:val="en-US" w:eastAsia="zh-CN"/>
                <w14:textFill>
                  <w14:solidFill>
                    <w14:schemeClr w14:val="tx1"/>
                  </w14:solidFill>
                </w14:textFill>
              </w:rPr>
              <w:t>1</w:t>
            </w:r>
            <w:r>
              <w:rPr>
                <w:rFonts w:hint="eastAsia" w:ascii="Times New Roman" w:hAnsi="Times New Roman" w:cs="宋体"/>
                <w:caps w:val="0"/>
                <w:color w:val="000000" w:themeColor="text1"/>
                <w:kern w:val="0"/>
                <w:sz w:val="24"/>
                <w:highlight w:val="none"/>
                <w:lang w:val="en-US" w:eastAsia="zh-CN"/>
                <w14:textFill>
                  <w14:solidFill>
                    <w14:schemeClr w14:val="tx1"/>
                  </w14:solidFill>
                </w14:textFill>
              </w:rPr>
              <w:t>5</w:t>
            </w:r>
            <w:r>
              <w:rPr>
                <w:rFonts w:hint="default" w:ascii="Times New Roman" w:hAnsi="Times New Roman" w:eastAsia="宋体" w:cs="宋体"/>
                <w:caps w:val="0"/>
                <w:color w:val="000000" w:themeColor="text1"/>
                <w:kern w:val="0"/>
                <w:sz w:val="24"/>
                <w:highlight w:val="none"/>
                <w14:textFill>
                  <w14:solidFill>
                    <w14:schemeClr w14:val="tx1"/>
                  </w14:solidFill>
                </w14:textFill>
              </w:rPr>
              <w:t>。</w:t>
            </w:r>
          </w:p>
          <w:p w14:paraId="0F9DF5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宋体"/>
                <w:b/>
                <w:bCs/>
                <w:caps w:val="0"/>
                <w:color w:val="000000" w:themeColor="text1"/>
                <w:spacing w:val="6"/>
                <w:sz w:val="24"/>
                <w:highlight w:val="none"/>
                <w14:textFill>
                  <w14:solidFill>
                    <w14:schemeClr w14:val="tx1"/>
                  </w14:solidFill>
                </w14:textFill>
              </w:rPr>
            </w:pPr>
            <w:r>
              <w:rPr>
                <w:rFonts w:hint="eastAsia" w:ascii="Times New Roman" w:hAnsi="Times New Roman" w:eastAsia="宋体" w:cs="宋体"/>
                <w:b/>
                <w:bCs/>
                <w:caps w:val="0"/>
                <w:color w:val="000000" w:themeColor="text1"/>
                <w:spacing w:val="6"/>
                <w:sz w:val="24"/>
                <w:highlight w:val="none"/>
                <w14:textFill>
                  <w14:solidFill>
                    <w14:schemeClr w14:val="tx1"/>
                  </w14:solidFill>
                </w14:textFill>
              </w:rPr>
              <w:t>表4-</w:t>
            </w:r>
            <w:r>
              <w:rPr>
                <w:rFonts w:hint="eastAsia" w:ascii="Times New Roman" w:hAnsi="Times New Roman" w:eastAsia="宋体" w:cs="宋体"/>
                <w:b/>
                <w:bCs/>
                <w:caps w:val="0"/>
                <w:color w:val="000000" w:themeColor="text1"/>
                <w:spacing w:val="6"/>
                <w:sz w:val="24"/>
                <w:highlight w:val="none"/>
                <w:lang w:val="en-US" w:eastAsia="zh-CN"/>
                <w14:textFill>
                  <w14:solidFill>
                    <w14:schemeClr w14:val="tx1"/>
                  </w14:solidFill>
                </w14:textFill>
              </w:rPr>
              <w:t>1</w:t>
            </w:r>
            <w:r>
              <w:rPr>
                <w:rFonts w:hint="eastAsia" w:ascii="Times New Roman" w:hAnsi="Times New Roman" w:cs="宋体"/>
                <w:b/>
                <w:bCs/>
                <w:caps w:val="0"/>
                <w:color w:val="000000" w:themeColor="text1"/>
                <w:spacing w:val="6"/>
                <w:sz w:val="24"/>
                <w:highlight w:val="none"/>
                <w:lang w:val="en-US" w:eastAsia="zh-CN"/>
                <w14:textFill>
                  <w14:solidFill>
                    <w14:schemeClr w14:val="tx1"/>
                  </w14:solidFill>
                </w14:textFill>
              </w:rPr>
              <w:t>4</w:t>
            </w:r>
            <w:r>
              <w:rPr>
                <w:rFonts w:hint="eastAsia" w:ascii="Times New Roman" w:hAnsi="Times New Roman" w:eastAsia="宋体" w:cs="宋体"/>
                <w:b/>
                <w:bCs/>
                <w:caps w:val="0"/>
                <w:color w:val="000000" w:themeColor="text1"/>
                <w:spacing w:val="6"/>
                <w:sz w:val="24"/>
                <w:highlight w:val="none"/>
                <w14:textFill>
                  <w14:solidFill>
                    <w14:schemeClr w14:val="tx1"/>
                  </w14:solidFill>
                </w14:textFill>
              </w:rPr>
              <w:t xml:space="preserve">  危险物质分布情况</w:t>
            </w:r>
          </w:p>
          <w:tbl>
            <w:tblPr>
              <w:tblStyle w:val="35"/>
              <w:tblW w:w="786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0"/>
              <w:gridCol w:w="714"/>
              <w:gridCol w:w="682"/>
              <w:gridCol w:w="941"/>
              <w:gridCol w:w="831"/>
              <w:gridCol w:w="1091"/>
              <w:gridCol w:w="928"/>
              <w:gridCol w:w="900"/>
              <w:gridCol w:w="1349"/>
            </w:tblGrid>
            <w:tr w14:paraId="1E5EF5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3" w:type="pct"/>
                  <w:tcBorders>
                    <w:tl2br w:val="nil"/>
                    <w:tr2bl w:val="nil"/>
                  </w:tcBorders>
                  <w:noWrap w:val="0"/>
                  <w:vAlign w:val="center"/>
                </w:tcPr>
                <w:p w14:paraId="6358A525">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t>序号</w:t>
                  </w:r>
                </w:p>
              </w:tc>
              <w:tc>
                <w:tcPr>
                  <w:tcW w:w="453" w:type="pct"/>
                  <w:tcBorders>
                    <w:tl2br w:val="nil"/>
                    <w:tr2bl w:val="nil"/>
                  </w:tcBorders>
                  <w:noWrap w:val="0"/>
                  <w:vAlign w:val="center"/>
                </w:tcPr>
                <w:p w14:paraId="420EF814">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t>名称</w:t>
                  </w:r>
                </w:p>
              </w:tc>
              <w:tc>
                <w:tcPr>
                  <w:tcW w:w="433" w:type="pct"/>
                  <w:tcBorders>
                    <w:tl2br w:val="nil"/>
                    <w:tr2bl w:val="nil"/>
                  </w:tcBorders>
                  <w:noWrap w:val="0"/>
                  <w:vAlign w:val="center"/>
                </w:tcPr>
                <w:p w14:paraId="26BB3385">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t>相态</w:t>
                  </w:r>
                </w:p>
              </w:tc>
              <w:tc>
                <w:tcPr>
                  <w:tcW w:w="598" w:type="pct"/>
                  <w:tcBorders>
                    <w:tl2br w:val="nil"/>
                    <w:tr2bl w:val="nil"/>
                  </w:tcBorders>
                  <w:noWrap w:val="0"/>
                  <w:vAlign w:val="center"/>
                </w:tcPr>
                <w:p w14:paraId="352E05DA">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t>主要危险特性</w:t>
                  </w:r>
                </w:p>
              </w:tc>
              <w:tc>
                <w:tcPr>
                  <w:tcW w:w="528" w:type="pct"/>
                  <w:tcBorders>
                    <w:tl2br w:val="nil"/>
                    <w:tr2bl w:val="nil"/>
                  </w:tcBorders>
                  <w:noWrap w:val="0"/>
                  <w:vAlign w:val="center"/>
                </w:tcPr>
                <w:p w14:paraId="1AEEF73D">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t>贮存地点</w:t>
                  </w:r>
                </w:p>
              </w:tc>
              <w:tc>
                <w:tcPr>
                  <w:tcW w:w="693" w:type="pct"/>
                  <w:tcBorders>
                    <w:tl2br w:val="nil"/>
                    <w:tr2bl w:val="nil"/>
                  </w:tcBorders>
                  <w:noWrap w:val="0"/>
                  <w:vAlign w:val="center"/>
                </w:tcPr>
                <w:p w14:paraId="0DCFF0C0">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t>贮存规格及方式</w:t>
                  </w:r>
                </w:p>
              </w:tc>
              <w:tc>
                <w:tcPr>
                  <w:tcW w:w="589" w:type="pct"/>
                  <w:tcBorders>
                    <w:tl2br w:val="nil"/>
                    <w:tr2bl w:val="nil"/>
                  </w:tcBorders>
                  <w:noWrap w:val="0"/>
                  <w:vAlign w:val="center"/>
                </w:tcPr>
                <w:p w14:paraId="6E5CF347">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pPr>
                  <w:r>
                    <w:rPr>
                      <w:rFonts w:hint="eastAsia" w:ascii="Times New Roman" w:hAnsi="Times New Roman" w:eastAsia="宋体" w:cs="宋体"/>
                      <w:b/>
                      <w:bCs w:val="0"/>
                      <w:caps w:val="0"/>
                      <w:sz w:val="21"/>
                      <w:szCs w:val="21"/>
                      <w:highlight w:val="none"/>
                      <w:lang w:val="en-US" w:eastAsia="zh-CN"/>
                    </w:rPr>
                    <w:t>最大</w:t>
                  </w:r>
                  <w: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t>贮存量（t）</w:t>
                  </w:r>
                </w:p>
              </w:tc>
              <w:tc>
                <w:tcPr>
                  <w:tcW w:w="572" w:type="pct"/>
                  <w:tcBorders>
                    <w:tl2br w:val="nil"/>
                    <w:tr2bl w:val="nil"/>
                  </w:tcBorders>
                  <w:noWrap w:val="0"/>
                  <w:vAlign w:val="center"/>
                </w:tcPr>
                <w:p w14:paraId="3C92BE17">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sz w:val="21"/>
                      <w:szCs w:val="21"/>
                      <w:highlight w:val="none"/>
                      <w14:textFill>
                        <w14:solidFill>
                          <w14:schemeClr w14:val="tx1"/>
                        </w14:solidFill>
                      </w14:textFill>
                    </w:rPr>
                    <w:t xml:space="preserve">临界量 </w:t>
                  </w:r>
                  <w:r>
                    <w:rPr>
                      <w:rFonts w:hint="default" w:ascii="Times New Roman" w:hAnsi="Times New Roman" w:eastAsia="宋体" w:cs="宋体"/>
                      <w:b/>
                      <w:bCs/>
                      <w:i/>
                      <w:iCs/>
                      <w:caps w:val="0"/>
                      <w:color w:val="000000" w:themeColor="text1"/>
                      <w:sz w:val="21"/>
                      <w:szCs w:val="21"/>
                      <w:highlight w:val="none"/>
                      <w14:textFill>
                        <w14:solidFill>
                          <w14:schemeClr w14:val="tx1"/>
                        </w14:solidFill>
                      </w14:textFill>
                    </w:rPr>
                    <w:t>Qn /</w:t>
                  </w:r>
                  <w:r>
                    <w:rPr>
                      <w:rFonts w:hint="default" w:ascii="Times New Roman" w:hAnsi="Times New Roman" w:eastAsia="宋体" w:cs="宋体"/>
                      <w:b/>
                      <w:bCs/>
                      <w:caps w:val="0"/>
                      <w:color w:val="000000" w:themeColor="text1"/>
                      <w:sz w:val="21"/>
                      <w:szCs w:val="21"/>
                      <w:highlight w:val="none"/>
                      <w14:textFill>
                        <w14:solidFill>
                          <w14:schemeClr w14:val="tx1"/>
                        </w14:solidFill>
                      </w14:textFill>
                    </w:rPr>
                    <w:t>t</w:t>
                  </w:r>
                </w:p>
              </w:tc>
              <w:tc>
                <w:tcPr>
                  <w:tcW w:w="857" w:type="pct"/>
                  <w:tcBorders>
                    <w:tl2br w:val="nil"/>
                    <w:tr2bl w:val="nil"/>
                  </w:tcBorders>
                  <w:noWrap w:val="0"/>
                  <w:vAlign w:val="center"/>
                </w:tcPr>
                <w:p w14:paraId="78AE14C7">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pPr>
                  <w:r>
                    <w:rPr>
                      <w:rFonts w:hint="default" w:ascii="Times New Roman" w:hAnsi="Times New Roman" w:eastAsia="宋体" w:cs="宋体"/>
                      <w:b/>
                      <w:bCs/>
                      <w:caps w:val="0"/>
                      <w:color w:val="000000" w:themeColor="text1"/>
                      <w:sz w:val="21"/>
                      <w:szCs w:val="21"/>
                      <w:highlight w:val="none"/>
                      <w14:textFill>
                        <w14:solidFill>
                          <w14:schemeClr w14:val="tx1"/>
                        </w14:solidFill>
                      </w14:textFill>
                    </w:rPr>
                    <w:t xml:space="preserve">该种危险物质 </w:t>
                  </w:r>
                  <w:r>
                    <w:rPr>
                      <w:rFonts w:hint="default" w:ascii="Times New Roman" w:hAnsi="Times New Roman" w:eastAsia="宋体" w:cs="宋体"/>
                      <w:b/>
                      <w:bCs/>
                      <w:i/>
                      <w:iCs/>
                      <w:caps w:val="0"/>
                      <w:color w:val="000000" w:themeColor="text1"/>
                      <w:sz w:val="21"/>
                      <w:szCs w:val="21"/>
                      <w:highlight w:val="none"/>
                      <w14:textFill>
                        <w14:solidFill>
                          <w14:schemeClr w14:val="tx1"/>
                        </w14:solidFill>
                      </w14:textFill>
                    </w:rPr>
                    <w:t>Q</w:t>
                  </w:r>
                  <w:r>
                    <w:rPr>
                      <w:rFonts w:hint="default" w:ascii="Times New Roman" w:hAnsi="Times New Roman" w:eastAsia="宋体" w:cs="宋体"/>
                      <w:b/>
                      <w:bCs/>
                      <w:caps w:val="0"/>
                      <w:color w:val="000000" w:themeColor="text1"/>
                      <w:sz w:val="21"/>
                      <w:szCs w:val="21"/>
                      <w:highlight w:val="none"/>
                      <w14:textFill>
                        <w14:solidFill>
                          <w14:schemeClr w14:val="tx1"/>
                        </w14:solidFill>
                      </w14:textFill>
                    </w:rPr>
                    <w:t>值</w:t>
                  </w:r>
                </w:p>
              </w:tc>
            </w:tr>
            <w:tr w14:paraId="512CC5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3" w:type="pct"/>
                  <w:tcBorders>
                    <w:tl2br w:val="nil"/>
                    <w:tr2bl w:val="nil"/>
                  </w:tcBorders>
                  <w:noWrap w:val="0"/>
                  <w:vAlign w:val="center"/>
                </w:tcPr>
                <w:p w14:paraId="59836A71">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14:textFill>
                        <w14:solidFill>
                          <w14:schemeClr w14:val="tx1"/>
                        </w14:solidFill>
                      </w14:textFill>
                    </w:rPr>
                  </w:pPr>
                  <w:r>
                    <w:rPr>
                      <w:rFonts w:hint="default" w:ascii="Times New Roman" w:hAnsi="Times New Roman" w:eastAsia="宋体" w:cs="宋体"/>
                      <w:caps w:val="0"/>
                      <w:color w:val="000000" w:themeColor="text1"/>
                      <w:sz w:val="21"/>
                      <w:szCs w:val="21"/>
                      <w:highlight w:val="none"/>
                      <w14:textFill>
                        <w14:solidFill>
                          <w14:schemeClr w14:val="tx1"/>
                        </w14:solidFill>
                      </w14:textFill>
                    </w:rPr>
                    <w:t>1</w:t>
                  </w:r>
                </w:p>
              </w:tc>
              <w:tc>
                <w:tcPr>
                  <w:tcW w:w="453" w:type="pct"/>
                  <w:tcBorders>
                    <w:tl2br w:val="nil"/>
                    <w:tr2bl w:val="nil"/>
                  </w:tcBorders>
                  <w:noWrap w:val="0"/>
                  <w:vAlign w:val="center"/>
                </w:tcPr>
                <w:p w14:paraId="30108FDA">
                  <w:pPr>
                    <w:keepNext w:val="0"/>
                    <w:keepLines w:val="0"/>
                    <w:pageBreakBefore w:val="0"/>
                    <w:widowControl/>
                    <w:kinsoku/>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color w:val="000000" w:themeColor="text1"/>
                      <w:kern w:val="0"/>
                      <w:sz w:val="21"/>
                      <w:szCs w:val="21"/>
                      <w:highlight w:val="none"/>
                      <w:lang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废机油</w:t>
                  </w:r>
                </w:p>
              </w:tc>
              <w:tc>
                <w:tcPr>
                  <w:tcW w:w="433" w:type="pct"/>
                  <w:tcBorders>
                    <w:tl2br w:val="nil"/>
                    <w:tr2bl w:val="nil"/>
                  </w:tcBorders>
                  <w:noWrap w:val="0"/>
                  <w:vAlign w:val="center"/>
                </w:tcPr>
                <w:p w14:paraId="4CFA1507">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液态</w:t>
                  </w:r>
                </w:p>
              </w:tc>
              <w:tc>
                <w:tcPr>
                  <w:tcW w:w="598" w:type="pct"/>
                  <w:tcBorders>
                    <w:tl2br w:val="nil"/>
                    <w:tr2bl w:val="nil"/>
                  </w:tcBorders>
                  <w:noWrap w:val="0"/>
                  <w:vAlign w:val="center"/>
                </w:tcPr>
                <w:p w14:paraId="772A9010">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14:textFill>
                        <w14:solidFill>
                          <w14:schemeClr w14:val="tx1"/>
                        </w14:solidFill>
                      </w14:textFill>
                    </w:rPr>
                  </w:pPr>
                  <w:r>
                    <w:rPr>
                      <w:rFonts w:hint="default" w:ascii="Times New Roman" w:hAnsi="Times New Roman" w:eastAsia="宋体" w:cs="宋体"/>
                      <w:caps w:val="0"/>
                      <w:color w:val="000000" w:themeColor="text1"/>
                      <w:kern w:val="0"/>
                      <w:sz w:val="21"/>
                      <w:szCs w:val="21"/>
                      <w:highlight w:val="none"/>
                      <w14:textFill>
                        <w14:solidFill>
                          <w14:schemeClr w14:val="tx1"/>
                        </w14:solidFill>
                      </w14:textFill>
                    </w:rPr>
                    <w:t>毒性</w:t>
                  </w:r>
                </w:p>
              </w:tc>
              <w:tc>
                <w:tcPr>
                  <w:tcW w:w="528" w:type="pct"/>
                  <w:tcBorders>
                    <w:tl2br w:val="nil"/>
                    <w:tr2bl w:val="nil"/>
                  </w:tcBorders>
                  <w:noWrap w:val="0"/>
                  <w:vAlign w:val="center"/>
                </w:tcPr>
                <w:p w14:paraId="6F64AB68">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危废贮存点</w:t>
                  </w:r>
                </w:p>
              </w:tc>
              <w:tc>
                <w:tcPr>
                  <w:tcW w:w="693" w:type="pct"/>
                  <w:tcBorders>
                    <w:tl2br w:val="nil"/>
                    <w:tr2bl w:val="nil"/>
                  </w:tcBorders>
                  <w:noWrap w:val="0"/>
                  <w:vAlign w:val="center"/>
                </w:tcPr>
                <w:p w14:paraId="379EE30F">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200L储存桶</w:t>
                  </w:r>
                </w:p>
              </w:tc>
              <w:tc>
                <w:tcPr>
                  <w:tcW w:w="589" w:type="pct"/>
                  <w:tcBorders>
                    <w:tl2br w:val="nil"/>
                    <w:tr2bl w:val="nil"/>
                  </w:tcBorders>
                  <w:noWrap w:val="0"/>
                  <w:vAlign w:val="center"/>
                </w:tcPr>
                <w:p w14:paraId="505D3281">
                  <w:pPr>
                    <w:keepNext w:val="0"/>
                    <w:keepLines w:val="0"/>
                    <w:pageBreakBefore w:val="0"/>
                    <w:kinsoku/>
                    <w:wordWrap w:val="0"/>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0.01</w:t>
                  </w:r>
                </w:p>
              </w:tc>
              <w:tc>
                <w:tcPr>
                  <w:tcW w:w="572" w:type="pct"/>
                  <w:tcBorders>
                    <w:tl2br w:val="nil"/>
                    <w:tr2bl w:val="nil"/>
                  </w:tcBorders>
                  <w:noWrap w:val="0"/>
                  <w:vAlign w:val="center"/>
                </w:tcPr>
                <w:p w14:paraId="5CB2CE7E">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2500</w:t>
                  </w:r>
                </w:p>
              </w:tc>
              <w:tc>
                <w:tcPr>
                  <w:tcW w:w="857" w:type="pct"/>
                  <w:tcBorders>
                    <w:tl2br w:val="nil"/>
                    <w:tr2bl w:val="nil"/>
                  </w:tcBorders>
                  <w:noWrap w:val="0"/>
                  <w:vAlign w:val="center"/>
                </w:tcPr>
                <w:p w14:paraId="1294FF4B">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0.000004</w:t>
                  </w:r>
                </w:p>
              </w:tc>
            </w:tr>
            <w:tr w14:paraId="1E93E6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3" w:type="pct"/>
                  <w:tcBorders>
                    <w:tl2br w:val="nil"/>
                    <w:tr2bl w:val="nil"/>
                  </w:tcBorders>
                  <w:noWrap w:val="0"/>
                  <w:vAlign w:val="center"/>
                </w:tcPr>
                <w:p w14:paraId="427F7AC4">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2</w:t>
                  </w:r>
                </w:p>
              </w:tc>
              <w:tc>
                <w:tcPr>
                  <w:tcW w:w="453" w:type="pct"/>
                  <w:tcBorders>
                    <w:tl2br w:val="nil"/>
                    <w:tr2bl w:val="nil"/>
                  </w:tcBorders>
                  <w:noWrap w:val="0"/>
                  <w:vAlign w:val="center"/>
                </w:tcPr>
                <w:p w14:paraId="059F058A">
                  <w:pPr>
                    <w:keepNext w:val="0"/>
                    <w:keepLines w:val="0"/>
                    <w:pageBreakBefore w:val="0"/>
                    <w:widowControl/>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废导热油</w:t>
                  </w:r>
                </w:p>
              </w:tc>
              <w:tc>
                <w:tcPr>
                  <w:tcW w:w="433" w:type="pct"/>
                  <w:tcBorders>
                    <w:tl2br w:val="nil"/>
                    <w:tr2bl w:val="nil"/>
                  </w:tcBorders>
                  <w:noWrap w:val="0"/>
                  <w:vAlign w:val="center"/>
                </w:tcPr>
                <w:p w14:paraId="640ED6B9">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液态</w:t>
                  </w:r>
                </w:p>
              </w:tc>
              <w:tc>
                <w:tcPr>
                  <w:tcW w:w="598" w:type="pct"/>
                  <w:tcBorders>
                    <w:tl2br w:val="nil"/>
                    <w:tr2bl w:val="nil"/>
                  </w:tcBorders>
                  <w:noWrap w:val="0"/>
                  <w:vAlign w:val="center"/>
                </w:tcPr>
                <w:p w14:paraId="2C755A0D">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毒性</w:t>
                  </w:r>
                </w:p>
              </w:tc>
              <w:tc>
                <w:tcPr>
                  <w:tcW w:w="528" w:type="pct"/>
                  <w:tcBorders>
                    <w:tl2br w:val="nil"/>
                    <w:tr2bl w:val="nil"/>
                  </w:tcBorders>
                  <w:noWrap w:val="0"/>
                  <w:vAlign w:val="center"/>
                </w:tcPr>
                <w:p w14:paraId="2675B33C">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危废贮存点</w:t>
                  </w:r>
                </w:p>
              </w:tc>
              <w:tc>
                <w:tcPr>
                  <w:tcW w:w="693" w:type="pct"/>
                  <w:tcBorders>
                    <w:tl2br w:val="nil"/>
                    <w:tr2bl w:val="nil"/>
                  </w:tcBorders>
                  <w:noWrap w:val="0"/>
                  <w:vAlign w:val="center"/>
                </w:tcPr>
                <w:p w14:paraId="01600330">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200L储存桶</w:t>
                  </w:r>
                </w:p>
              </w:tc>
              <w:tc>
                <w:tcPr>
                  <w:tcW w:w="589" w:type="pct"/>
                  <w:tcBorders>
                    <w:tl2br w:val="nil"/>
                    <w:tr2bl w:val="nil"/>
                  </w:tcBorders>
                  <w:noWrap w:val="0"/>
                  <w:vAlign w:val="center"/>
                </w:tcPr>
                <w:p w14:paraId="39BE3BB3">
                  <w:pPr>
                    <w:keepNext w:val="0"/>
                    <w:keepLines w:val="0"/>
                    <w:pageBreakBefore w:val="0"/>
                    <w:kinsoku/>
                    <w:wordWrap w:val="0"/>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宋体"/>
                      <w:caps w:val="0"/>
                      <w:color w:val="000000" w:themeColor="text1"/>
                      <w:kern w:val="0"/>
                      <w:sz w:val="21"/>
                      <w:szCs w:val="21"/>
                      <w:highlight w:val="none"/>
                      <w:lang w:val="en-US" w:eastAsia="zh-CN"/>
                      <w14:textFill>
                        <w14:solidFill>
                          <w14:schemeClr w14:val="tx1"/>
                        </w14:solidFill>
                      </w14:textFill>
                    </w:rPr>
                    <w:t>2</w:t>
                  </w:r>
                </w:p>
              </w:tc>
              <w:tc>
                <w:tcPr>
                  <w:tcW w:w="572" w:type="pct"/>
                  <w:tcBorders>
                    <w:tl2br w:val="nil"/>
                    <w:tr2bl w:val="nil"/>
                  </w:tcBorders>
                  <w:noWrap w:val="0"/>
                  <w:vAlign w:val="center"/>
                </w:tcPr>
                <w:p w14:paraId="189B1FB0">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2500</w:t>
                  </w:r>
                </w:p>
              </w:tc>
              <w:tc>
                <w:tcPr>
                  <w:tcW w:w="857" w:type="pct"/>
                  <w:tcBorders>
                    <w:tl2br w:val="nil"/>
                    <w:tr2bl w:val="nil"/>
                  </w:tcBorders>
                  <w:noWrap w:val="0"/>
                  <w:vAlign w:val="center"/>
                </w:tcPr>
                <w:p w14:paraId="243CF8B8">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0.00</w:t>
                  </w:r>
                  <w:r>
                    <w:rPr>
                      <w:rFonts w:hint="eastAsia" w:ascii="Times New Roman" w:hAnsi="Times New Roman" w:cs="宋体"/>
                      <w:caps w:val="0"/>
                      <w:color w:val="000000" w:themeColor="text1"/>
                      <w:kern w:val="0"/>
                      <w:sz w:val="21"/>
                      <w:szCs w:val="21"/>
                      <w:highlight w:val="none"/>
                      <w:lang w:val="en-US" w:eastAsia="zh-CN"/>
                      <w14:textFill>
                        <w14:solidFill>
                          <w14:schemeClr w14:val="tx1"/>
                        </w14:solidFill>
                      </w14:textFill>
                    </w:rPr>
                    <w:t>08</w:t>
                  </w:r>
                </w:p>
              </w:tc>
            </w:tr>
            <w:tr w14:paraId="2B7CDE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3" w:type="pct"/>
                  <w:tcBorders>
                    <w:tl2br w:val="nil"/>
                    <w:tr2bl w:val="nil"/>
                  </w:tcBorders>
                  <w:noWrap w:val="0"/>
                  <w:vAlign w:val="center"/>
                </w:tcPr>
                <w:p w14:paraId="00F7CE17">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3</w:t>
                  </w:r>
                </w:p>
              </w:tc>
              <w:tc>
                <w:tcPr>
                  <w:tcW w:w="453" w:type="pct"/>
                  <w:tcBorders>
                    <w:tl2br w:val="nil"/>
                    <w:tr2bl w:val="nil"/>
                  </w:tcBorders>
                  <w:noWrap w:val="0"/>
                  <w:vAlign w:val="center"/>
                </w:tcPr>
                <w:p w14:paraId="2C88C491">
                  <w:pPr>
                    <w:keepNext w:val="0"/>
                    <w:keepLines w:val="0"/>
                    <w:pageBreakBefore w:val="0"/>
                    <w:widowControl/>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柴油</w:t>
                  </w:r>
                </w:p>
              </w:tc>
              <w:tc>
                <w:tcPr>
                  <w:tcW w:w="433" w:type="pct"/>
                  <w:tcBorders>
                    <w:tl2br w:val="nil"/>
                    <w:tr2bl w:val="nil"/>
                  </w:tcBorders>
                  <w:noWrap w:val="0"/>
                  <w:vAlign w:val="center"/>
                </w:tcPr>
                <w:p w14:paraId="3F460B9B">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液态</w:t>
                  </w:r>
                </w:p>
              </w:tc>
              <w:tc>
                <w:tcPr>
                  <w:tcW w:w="598" w:type="pct"/>
                  <w:tcBorders>
                    <w:tl2br w:val="nil"/>
                    <w:tr2bl w:val="nil"/>
                  </w:tcBorders>
                  <w:noWrap w:val="0"/>
                  <w:vAlign w:val="center"/>
                </w:tcPr>
                <w:p w14:paraId="69094A8F">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毒性</w:t>
                  </w:r>
                </w:p>
              </w:tc>
              <w:tc>
                <w:tcPr>
                  <w:tcW w:w="528" w:type="pct"/>
                  <w:tcBorders>
                    <w:tl2br w:val="nil"/>
                    <w:tr2bl w:val="nil"/>
                  </w:tcBorders>
                  <w:noWrap w:val="0"/>
                  <w:vAlign w:val="center"/>
                </w:tcPr>
                <w:p w14:paraId="1D5CF732">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燃料储罐</w:t>
                  </w:r>
                </w:p>
              </w:tc>
              <w:tc>
                <w:tcPr>
                  <w:tcW w:w="693" w:type="pct"/>
                  <w:tcBorders>
                    <w:tl2br w:val="nil"/>
                    <w:tr2bl w:val="nil"/>
                  </w:tcBorders>
                  <w:noWrap w:val="0"/>
                  <w:vAlign w:val="center"/>
                </w:tcPr>
                <w:p w14:paraId="34B767C2">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sz w:val="21"/>
                      <w:szCs w:val="21"/>
                      <w:highlight w:val="none"/>
                      <w:lang w:val="en-US" w:eastAsia="zh-CN"/>
                      <w14:textFill>
                        <w14:solidFill>
                          <w14:schemeClr w14:val="tx1"/>
                        </w14:solidFill>
                      </w14:textFill>
                    </w:rPr>
                    <w:t>5吨储罐</w:t>
                  </w:r>
                </w:p>
              </w:tc>
              <w:tc>
                <w:tcPr>
                  <w:tcW w:w="589" w:type="pct"/>
                  <w:tcBorders>
                    <w:tl2br w:val="nil"/>
                    <w:tr2bl w:val="nil"/>
                  </w:tcBorders>
                  <w:noWrap w:val="0"/>
                  <w:vAlign w:val="center"/>
                </w:tcPr>
                <w:p w14:paraId="0509BB83">
                  <w:pPr>
                    <w:keepNext w:val="0"/>
                    <w:keepLines w:val="0"/>
                    <w:pageBreakBefore w:val="0"/>
                    <w:kinsoku/>
                    <w:wordWrap w:val="0"/>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5</w:t>
                  </w:r>
                </w:p>
              </w:tc>
              <w:tc>
                <w:tcPr>
                  <w:tcW w:w="572" w:type="pct"/>
                  <w:tcBorders>
                    <w:tl2br w:val="nil"/>
                    <w:tr2bl w:val="nil"/>
                  </w:tcBorders>
                  <w:noWrap w:val="0"/>
                  <w:vAlign w:val="center"/>
                </w:tcPr>
                <w:p w14:paraId="38B44AEF">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2500</w:t>
                  </w:r>
                </w:p>
              </w:tc>
              <w:tc>
                <w:tcPr>
                  <w:tcW w:w="857" w:type="pct"/>
                  <w:tcBorders>
                    <w:tl2br w:val="nil"/>
                    <w:tr2bl w:val="nil"/>
                  </w:tcBorders>
                  <w:noWrap w:val="0"/>
                  <w:vAlign w:val="center"/>
                </w:tcPr>
                <w:p w14:paraId="41F6B826">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0.002</w:t>
                  </w:r>
                </w:p>
              </w:tc>
            </w:tr>
            <w:tr w14:paraId="158D2D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42" w:type="pct"/>
                  <w:gridSpan w:val="8"/>
                  <w:tcBorders>
                    <w:tl2br w:val="nil"/>
                    <w:tr2bl w:val="nil"/>
                  </w:tcBorders>
                  <w:noWrap w:val="0"/>
                  <w:vAlign w:val="center"/>
                </w:tcPr>
                <w:p w14:paraId="3B337665">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000000" w:themeColor="text1"/>
                      <w:sz w:val="21"/>
                      <w:szCs w:val="21"/>
                      <w:highlight w:val="none"/>
                      <w14:textFill>
                        <w14:solidFill>
                          <w14:schemeClr w14:val="tx1"/>
                        </w14:solidFill>
                      </w14:textFill>
                    </w:rPr>
                  </w:pPr>
                  <w:r>
                    <w:rPr>
                      <w:rFonts w:hint="default" w:ascii="Times New Roman" w:hAnsi="Times New Roman" w:eastAsia="宋体" w:cs="宋体"/>
                      <w:caps w:val="0"/>
                      <w:color w:val="000000" w:themeColor="text1"/>
                      <w:kern w:val="0"/>
                      <w:sz w:val="21"/>
                      <w:szCs w:val="21"/>
                      <w:highlight w:val="none"/>
                      <w14:textFill>
                        <w14:solidFill>
                          <w14:schemeClr w14:val="tx1"/>
                        </w14:solidFill>
                      </w14:textFill>
                    </w:rPr>
                    <w:t>项目Q值Σ</w:t>
                  </w:r>
                </w:p>
              </w:tc>
              <w:tc>
                <w:tcPr>
                  <w:tcW w:w="857" w:type="pct"/>
                  <w:tcBorders>
                    <w:tl2br w:val="nil"/>
                    <w:tr2bl w:val="nil"/>
                  </w:tcBorders>
                  <w:noWrap w:val="0"/>
                  <w:vAlign w:val="center"/>
                </w:tcPr>
                <w:p w14:paraId="3ECB1E0F">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000000" w:themeColor="text1"/>
                      <w:kern w:val="2"/>
                      <w:sz w:val="22"/>
                      <w:szCs w:val="22"/>
                      <w:highlight w:val="none"/>
                      <w:u w:val="none"/>
                      <w:lang w:val="en-US" w:eastAsia="zh-CN" w:bidi="ar-SA"/>
                      <w14:textFill>
                        <w14:solidFill>
                          <w14:schemeClr w14:val="tx1"/>
                        </w14:solidFill>
                      </w14:textFill>
                    </w:rPr>
                  </w:pP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0.00</w:t>
                  </w:r>
                  <w:r>
                    <w:rPr>
                      <w:rFonts w:hint="eastAsia" w:ascii="Times New Roman" w:hAnsi="Times New Roman" w:cs="宋体"/>
                      <w:caps w:val="0"/>
                      <w:color w:val="000000" w:themeColor="text1"/>
                      <w:kern w:val="0"/>
                      <w:sz w:val="21"/>
                      <w:szCs w:val="21"/>
                      <w:highlight w:val="none"/>
                      <w:lang w:val="en-US" w:eastAsia="zh-CN"/>
                      <w14:textFill>
                        <w14:solidFill>
                          <w14:schemeClr w14:val="tx1"/>
                        </w14:solidFill>
                      </w14:textFill>
                    </w:rPr>
                    <w:t>28</w:t>
                  </w:r>
                  <w:r>
                    <w:rPr>
                      <w:rFonts w:hint="eastAsia" w:ascii="Times New Roman" w:hAnsi="Times New Roman" w:eastAsia="宋体" w:cs="宋体"/>
                      <w:caps w:val="0"/>
                      <w:color w:val="000000" w:themeColor="text1"/>
                      <w:kern w:val="0"/>
                      <w:sz w:val="21"/>
                      <w:szCs w:val="21"/>
                      <w:highlight w:val="none"/>
                      <w:lang w:val="en-US" w:eastAsia="zh-CN"/>
                      <w14:textFill>
                        <w14:solidFill>
                          <w14:schemeClr w14:val="tx1"/>
                        </w14:solidFill>
                      </w14:textFill>
                    </w:rPr>
                    <w:t>04</w:t>
                  </w:r>
                </w:p>
              </w:tc>
            </w:tr>
          </w:tbl>
          <w:p w14:paraId="4D6B2C3C">
            <w:pPr>
              <w:adjustRightInd w:val="0"/>
              <w:snapToGrid w:val="0"/>
              <w:spacing w:before="120" w:beforeLines="50" w:line="360" w:lineRule="auto"/>
              <w:ind w:firstLine="480" w:firstLineChars="200"/>
              <w:rPr>
                <w:rFonts w:hint="default" w:ascii="Times New Roman" w:hAnsi="Times New Roman" w:eastAsia="宋体" w:cs="宋体"/>
                <w:caps w:val="0"/>
                <w:color w:val="000000" w:themeColor="text1"/>
                <w:kern w:val="0"/>
                <w:sz w:val="24"/>
                <w:highlight w:val="none"/>
                <w14:textFill>
                  <w14:solidFill>
                    <w14:schemeClr w14:val="tx1"/>
                  </w14:solidFill>
                </w14:textFill>
              </w:rPr>
            </w:pPr>
            <w:r>
              <w:rPr>
                <w:rFonts w:hint="default" w:ascii="Times New Roman" w:hAnsi="Times New Roman" w:eastAsia="宋体" w:cs="宋体"/>
                <w:caps w:val="0"/>
                <w:color w:val="000000" w:themeColor="text1"/>
                <w:kern w:val="0"/>
                <w:sz w:val="24"/>
                <w:highlight w:val="none"/>
                <w14:textFill>
                  <w14:solidFill>
                    <w14:schemeClr w14:val="tx1"/>
                  </w14:solidFill>
                </w14:textFill>
              </w:rPr>
              <w:t>由上表可知，本项目Q＜1，项目环境风险潜势为I，对照《建设项目环境风险评价技术导则》（HJ 169-2018），项目进行简单分析。</w:t>
            </w:r>
          </w:p>
          <w:p w14:paraId="3EF6791B">
            <w:pPr>
              <w:widowControl/>
              <w:shd w:val="clear"/>
              <w:spacing w:line="360" w:lineRule="auto"/>
              <w:jc w:val="left"/>
              <w:rPr>
                <w:rFonts w:hint="eastAsia" w:ascii="Times New Roman" w:hAnsi="Times New Roman" w:eastAsia="宋体" w:cs="宋体"/>
                <w:b/>
                <w:caps w:val="0"/>
                <w:color w:val="auto"/>
                <w:spacing w:val="0"/>
                <w:kern w:val="0"/>
                <w:sz w:val="24"/>
                <w:highlight w:val="none"/>
                <w:lang w:bidi="ar"/>
              </w:rPr>
            </w:pPr>
            <w:r>
              <w:rPr>
                <w:rFonts w:hint="eastAsia" w:ascii="Times New Roman" w:hAnsi="Times New Roman" w:eastAsia="宋体" w:cs="宋体"/>
                <w:b/>
                <w:caps w:val="0"/>
                <w:color w:val="auto"/>
                <w:spacing w:val="0"/>
                <w:kern w:val="0"/>
                <w:sz w:val="24"/>
                <w:highlight w:val="none"/>
                <w:lang w:val="en-US" w:eastAsia="zh-CN" w:bidi="ar"/>
              </w:rPr>
              <w:t>6.2</w:t>
            </w:r>
            <w:r>
              <w:rPr>
                <w:rFonts w:hint="eastAsia" w:ascii="Times New Roman" w:hAnsi="Times New Roman" w:eastAsia="宋体" w:cs="宋体"/>
                <w:b/>
                <w:caps w:val="0"/>
                <w:color w:val="auto"/>
                <w:spacing w:val="0"/>
                <w:kern w:val="0"/>
                <w:sz w:val="24"/>
                <w:highlight w:val="none"/>
                <w:lang w:bidi="ar"/>
              </w:rPr>
              <w:t>环境风险因素分析及可能影响途径</w:t>
            </w:r>
          </w:p>
          <w:p w14:paraId="16732235">
            <w:pPr>
              <w:shd w:val="clear"/>
              <w:spacing w:line="360" w:lineRule="auto"/>
              <w:ind w:firstLine="480" w:firstLineChars="200"/>
              <w:rPr>
                <w:rFonts w:hint="eastAsia" w:ascii="Times New Roman" w:hAnsi="Times New Roman" w:eastAsia="宋体" w:cs="宋体"/>
                <w:caps w:val="0"/>
                <w:color w:val="auto"/>
                <w:spacing w:val="0"/>
                <w:kern w:val="0"/>
                <w:sz w:val="24"/>
                <w:szCs w:val="24"/>
                <w:highlight w:val="none"/>
              </w:rPr>
            </w:pPr>
            <w:r>
              <w:rPr>
                <w:rFonts w:hint="eastAsia" w:ascii="Times New Roman" w:hAnsi="Times New Roman" w:eastAsia="宋体" w:cs="宋体"/>
                <w:caps w:val="0"/>
                <w:color w:val="auto"/>
                <w:spacing w:val="0"/>
                <w:kern w:val="0"/>
                <w:sz w:val="24"/>
                <w:szCs w:val="24"/>
                <w:highlight w:val="none"/>
                <w:lang w:val="en-US" w:eastAsia="zh-CN"/>
              </w:rPr>
              <w:t>根据对环境风险物质的筛选、对生产和储存系统的分析，确定本项目的风险单元主要为危废贮存点。</w:t>
            </w:r>
          </w:p>
          <w:p w14:paraId="61FB0C5E">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b/>
                <w:bCs/>
                <w:caps w:val="0"/>
                <w:color w:val="auto"/>
                <w:spacing w:val="0"/>
                <w:kern w:val="0"/>
                <w:sz w:val="21"/>
                <w:szCs w:val="21"/>
                <w:highlight w:val="none"/>
              </w:rPr>
            </w:pPr>
            <w:r>
              <w:rPr>
                <w:rFonts w:hint="eastAsia" w:ascii="Times New Roman" w:hAnsi="Times New Roman" w:eastAsia="宋体" w:cs="宋体"/>
                <w:b/>
                <w:bCs/>
                <w:caps w:val="0"/>
                <w:color w:val="auto"/>
                <w:spacing w:val="0"/>
                <w:kern w:val="0"/>
                <w:sz w:val="21"/>
                <w:szCs w:val="21"/>
                <w:highlight w:val="none"/>
              </w:rPr>
              <w:t>表</w:t>
            </w:r>
            <w:r>
              <w:rPr>
                <w:rFonts w:hint="default" w:ascii="Times New Roman" w:hAnsi="Times New Roman" w:eastAsia="宋体" w:cs="宋体"/>
                <w:b/>
                <w:bCs/>
                <w:caps w:val="0"/>
                <w:color w:val="auto"/>
                <w:spacing w:val="0"/>
                <w:kern w:val="0"/>
                <w:sz w:val="21"/>
                <w:szCs w:val="21"/>
                <w:highlight w:val="none"/>
              </w:rPr>
              <w:t>4-</w:t>
            </w:r>
            <w:r>
              <w:rPr>
                <w:rFonts w:hint="eastAsia" w:ascii="Times New Roman" w:hAnsi="Times New Roman" w:eastAsia="宋体" w:cs="宋体"/>
                <w:b/>
                <w:bCs/>
                <w:caps w:val="0"/>
                <w:color w:val="auto"/>
                <w:spacing w:val="0"/>
                <w:kern w:val="0"/>
                <w:sz w:val="21"/>
                <w:szCs w:val="21"/>
                <w:highlight w:val="none"/>
                <w:lang w:val="en-US" w:eastAsia="zh-CN"/>
              </w:rPr>
              <w:t>1</w:t>
            </w:r>
            <w:r>
              <w:rPr>
                <w:rFonts w:hint="eastAsia" w:ascii="Times New Roman" w:hAnsi="Times New Roman" w:cs="宋体"/>
                <w:b/>
                <w:bCs/>
                <w:caps w:val="0"/>
                <w:color w:val="auto"/>
                <w:spacing w:val="0"/>
                <w:kern w:val="0"/>
                <w:sz w:val="21"/>
                <w:szCs w:val="21"/>
                <w:highlight w:val="none"/>
                <w:lang w:val="en-US" w:eastAsia="zh-CN"/>
              </w:rPr>
              <w:t>5</w:t>
            </w:r>
            <w:r>
              <w:rPr>
                <w:rFonts w:hint="eastAsia" w:ascii="Times New Roman" w:hAnsi="Times New Roman" w:eastAsia="宋体" w:cs="宋体"/>
                <w:b/>
                <w:bCs/>
                <w:caps w:val="0"/>
                <w:color w:val="auto"/>
                <w:spacing w:val="0"/>
                <w:kern w:val="0"/>
                <w:sz w:val="21"/>
                <w:szCs w:val="21"/>
                <w:highlight w:val="none"/>
              </w:rPr>
              <w:t>危险物质影响途径一览表</w:t>
            </w:r>
          </w:p>
          <w:tbl>
            <w:tblPr>
              <w:tblStyle w:val="35"/>
              <w:tblW w:w="49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3"/>
              <w:gridCol w:w="1301"/>
              <w:gridCol w:w="1066"/>
              <w:gridCol w:w="1487"/>
              <w:gridCol w:w="2225"/>
              <w:gridCol w:w="1185"/>
            </w:tblGrid>
            <w:tr w14:paraId="38B74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41" w:type="pct"/>
                  <w:tcBorders>
                    <w:top w:val="single" w:color="auto" w:sz="12" w:space="0"/>
                    <w:left w:val="nil"/>
                  </w:tcBorders>
                  <w:noWrap w:val="0"/>
                  <w:vAlign w:val="center"/>
                </w:tcPr>
                <w:p w14:paraId="2E29ADB3">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kern w:val="2"/>
                      <w:sz w:val="21"/>
                      <w:szCs w:val="21"/>
                      <w:highlight w:val="none"/>
                      <w:lang w:val="en-US" w:eastAsia="zh-CN" w:bidi="ar-SA"/>
                    </w:rPr>
                  </w:pPr>
                  <w:r>
                    <w:rPr>
                      <w:rFonts w:hint="eastAsia" w:ascii="Times New Roman" w:hAnsi="Times New Roman" w:eastAsia="宋体" w:cs="宋体"/>
                      <w:b/>
                      <w:bCs/>
                      <w:caps w:val="0"/>
                      <w:color w:val="auto"/>
                      <w:spacing w:val="0"/>
                      <w:sz w:val="21"/>
                      <w:szCs w:val="21"/>
                      <w:highlight w:val="none"/>
                    </w:rPr>
                    <w:t>序号</w:t>
                  </w:r>
                </w:p>
              </w:tc>
              <w:tc>
                <w:tcPr>
                  <w:tcW w:w="834" w:type="pct"/>
                  <w:tcBorders>
                    <w:top w:val="single" w:color="auto" w:sz="12" w:space="0"/>
                  </w:tcBorders>
                  <w:noWrap w:val="0"/>
                  <w:vAlign w:val="center"/>
                </w:tcPr>
                <w:p w14:paraId="0EB78F5D">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kern w:val="2"/>
                      <w:sz w:val="21"/>
                      <w:szCs w:val="21"/>
                      <w:highlight w:val="none"/>
                      <w:lang w:val="en-US" w:eastAsia="zh-CN" w:bidi="ar-SA"/>
                    </w:rPr>
                  </w:pPr>
                  <w:r>
                    <w:rPr>
                      <w:rFonts w:hint="eastAsia" w:ascii="Times New Roman" w:hAnsi="Times New Roman" w:eastAsia="宋体" w:cs="宋体"/>
                      <w:b/>
                      <w:bCs/>
                      <w:caps w:val="0"/>
                      <w:color w:val="auto"/>
                      <w:spacing w:val="0"/>
                      <w:sz w:val="21"/>
                      <w:szCs w:val="21"/>
                      <w:highlight w:val="none"/>
                    </w:rPr>
                    <w:t>危险单元</w:t>
                  </w:r>
                </w:p>
              </w:tc>
              <w:tc>
                <w:tcPr>
                  <w:tcW w:w="683" w:type="pct"/>
                  <w:tcBorders>
                    <w:top w:val="single" w:color="auto" w:sz="12" w:space="0"/>
                  </w:tcBorders>
                  <w:noWrap w:val="0"/>
                  <w:vAlign w:val="center"/>
                </w:tcPr>
                <w:p w14:paraId="691FE35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kern w:val="2"/>
                      <w:sz w:val="21"/>
                      <w:szCs w:val="21"/>
                      <w:highlight w:val="none"/>
                      <w:lang w:val="en-US" w:eastAsia="zh-CN" w:bidi="ar-SA"/>
                    </w:rPr>
                  </w:pPr>
                  <w:r>
                    <w:rPr>
                      <w:rFonts w:hint="eastAsia" w:ascii="Times New Roman" w:hAnsi="Times New Roman" w:eastAsia="宋体" w:cs="宋体"/>
                      <w:b/>
                      <w:bCs/>
                      <w:caps w:val="0"/>
                      <w:color w:val="auto"/>
                      <w:spacing w:val="0"/>
                      <w:sz w:val="21"/>
                      <w:szCs w:val="21"/>
                      <w:highlight w:val="none"/>
                    </w:rPr>
                    <w:t>风险源</w:t>
                  </w:r>
                </w:p>
              </w:tc>
              <w:tc>
                <w:tcPr>
                  <w:tcW w:w="953" w:type="pct"/>
                  <w:tcBorders>
                    <w:top w:val="single" w:color="auto" w:sz="12" w:space="0"/>
                  </w:tcBorders>
                  <w:noWrap w:val="0"/>
                  <w:vAlign w:val="center"/>
                </w:tcPr>
                <w:p w14:paraId="760FB279">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kern w:val="2"/>
                      <w:sz w:val="21"/>
                      <w:szCs w:val="21"/>
                      <w:highlight w:val="none"/>
                      <w:lang w:val="en-US" w:eastAsia="zh-CN" w:bidi="ar-SA"/>
                    </w:rPr>
                  </w:pPr>
                  <w:r>
                    <w:rPr>
                      <w:rFonts w:hint="eastAsia" w:ascii="Times New Roman" w:hAnsi="Times New Roman" w:eastAsia="宋体" w:cs="宋体"/>
                      <w:b/>
                      <w:bCs/>
                      <w:caps w:val="0"/>
                      <w:color w:val="auto"/>
                      <w:spacing w:val="0"/>
                      <w:sz w:val="21"/>
                      <w:szCs w:val="21"/>
                      <w:highlight w:val="none"/>
                    </w:rPr>
                    <w:t>主要危险物质</w:t>
                  </w:r>
                </w:p>
              </w:tc>
              <w:tc>
                <w:tcPr>
                  <w:tcW w:w="1426" w:type="pct"/>
                  <w:tcBorders>
                    <w:top w:val="single" w:color="auto" w:sz="12" w:space="0"/>
                  </w:tcBorders>
                  <w:noWrap w:val="0"/>
                  <w:vAlign w:val="center"/>
                </w:tcPr>
                <w:p w14:paraId="1B82DF4A">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kern w:val="2"/>
                      <w:sz w:val="21"/>
                      <w:szCs w:val="21"/>
                      <w:highlight w:val="none"/>
                      <w:lang w:val="en-US" w:eastAsia="zh-CN" w:bidi="ar-SA"/>
                    </w:rPr>
                  </w:pPr>
                  <w:r>
                    <w:rPr>
                      <w:rFonts w:hint="eastAsia" w:ascii="Times New Roman" w:hAnsi="Times New Roman" w:eastAsia="宋体" w:cs="宋体"/>
                      <w:b/>
                      <w:bCs/>
                      <w:caps w:val="0"/>
                      <w:color w:val="auto"/>
                      <w:spacing w:val="0"/>
                      <w:sz w:val="21"/>
                      <w:szCs w:val="21"/>
                      <w:highlight w:val="none"/>
                    </w:rPr>
                    <w:t>环境风险类型</w:t>
                  </w:r>
                </w:p>
              </w:tc>
              <w:tc>
                <w:tcPr>
                  <w:tcW w:w="760" w:type="pct"/>
                  <w:tcBorders>
                    <w:top w:val="single" w:color="auto" w:sz="12" w:space="0"/>
                    <w:right w:val="nil"/>
                  </w:tcBorders>
                  <w:noWrap w:val="0"/>
                  <w:vAlign w:val="center"/>
                </w:tcPr>
                <w:p w14:paraId="031875C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kern w:val="2"/>
                      <w:sz w:val="21"/>
                      <w:szCs w:val="21"/>
                      <w:highlight w:val="none"/>
                      <w:lang w:val="en-US" w:eastAsia="zh-CN" w:bidi="ar-SA"/>
                    </w:rPr>
                  </w:pPr>
                  <w:r>
                    <w:rPr>
                      <w:rFonts w:hint="eastAsia" w:ascii="Times New Roman" w:hAnsi="Times New Roman" w:eastAsia="宋体" w:cs="宋体"/>
                      <w:b/>
                      <w:bCs/>
                      <w:caps w:val="0"/>
                      <w:color w:val="auto"/>
                      <w:spacing w:val="0"/>
                      <w:sz w:val="21"/>
                      <w:szCs w:val="21"/>
                      <w:highlight w:val="none"/>
                    </w:rPr>
                    <w:t>环境影响途径</w:t>
                  </w:r>
                </w:p>
              </w:tc>
            </w:tr>
            <w:tr w14:paraId="1606C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41" w:type="pct"/>
                  <w:tcBorders>
                    <w:left w:val="nil"/>
                  </w:tcBorders>
                  <w:noWrap w:val="0"/>
                  <w:vAlign w:val="center"/>
                </w:tcPr>
                <w:p w14:paraId="45D6070D">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rPr>
                    <w:t>1</w:t>
                  </w:r>
                </w:p>
              </w:tc>
              <w:tc>
                <w:tcPr>
                  <w:tcW w:w="834" w:type="pct"/>
                  <w:noWrap w:val="0"/>
                  <w:vAlign w:val="center"/>
                </w:tcPr>
                <w:p w14:paraId="07BB0824">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危废贮存点</w:t>
                  </w:r>
                </w:p>
              </w:tc>
              <w:tc>
                <w:tcPr>
                  <w:tcW w:w="683" w:type="pct"/>
                  <w:noWrap w:val="0"/>
                  <w:vAlign w:val="center"/>
                </w:tcPr>
                <w:p w14:paraId="56BF2E6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废机油</w:t>
                  </w:r>
                </w:p>
              </w:tc>
              <w:tc>
                <w:tcPr>
                  <w:tcW w:w="953" w:type="pct"/>
                  <w:noWrap w:val="0"/>
                  <w:vAlign w:val="center"/>
                </w:tcPr>
                <w:p w14:paraId="6E91375F">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废矿物油</w:t>
                  </w:r>
                </w:p>
              </w:tc>
              <w:tc>
                <w:tcPr>
                  <w:tcW w:w="1426" w:type="pct"/>
                  <w:noWrap w:val="0"/>
                  <w:vAlign w:val="center"/>
                </w:tcPr>
                <w:p w14:paraId="24C78630">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kern w:val="0"/>
                      <w:sz w:val="21"/>
                      <w:szCs w:val="21"/>
                      <w:highlight w:val="none"/>
                    </w:rPr>
                    <w:t>泄漏，火灾等引发的伴生/次生污染物排放</w:t>
                  </w:r>
                </w:p>
              </w:tc>
              <w:tc>
                <w:tcPr>
                  <w:tcW w:w="760" w:type="pct"/>
                  <w:tcBorders>
                    <w:right w:val="nil"/>
                  </w:tcBorders>
                  <w:noWrap w:val="0"/>
                  <w:vAlign w:val="center"/>
                </w:tcPr>
                <w:p w14:paraId="5973CEC1">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eastAsia="zh-CN"/>
                    </w:rPr>
                  </w:pPr>
                  <w:r>
                    <w:rPr>
                      <w:rFonts w:hint="eastAsia" w:ascii="Times New Roman" w:hAnsi="Times New Roman" w:eastAsia="宋体" w:cs="宋体"/>
                      <w:caps w:val="0"/>
                      <w:color w:val="auto"/>
                      <w:spacing w:val="0"/>
                      <w:sz w:val="21"/>
                      <w:szCs w:val="21"/>
                      <w:highlight w:val="none"/>
                    </w:rPr>
                    <w:t>地表水、大气</w:t>
                  </w:r>
                </w:p>
              </w:tc>
            </w:tr>
            <w:tr w14:paraId="22FEB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exact"/>
                <w:jc w:val="center"/>
              </w:trPr>
              <w:tc>
                <w:tcPr>
                  <w:tcW w:w="341" w:type="pct"/>
                  <w:tcBorders>
                    <w:left w:val="nil"/>
                  </w:tcBorders>
                  <w:noWrap w:val="0"/>
                  <w:vAlign w:val="center"/>
                </w:tcPr>
                <w:p w14:paraId="7A1E1ED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2</w:t>
                  </w:r>
                </w:p>
              </w:tc>
              <w:tc>
                <w:tcPr>
                  <w:tcW w:w="834" w:type="pct"/>
                  <w:noWrap w:val="0"/>
                  <w:vAlign w:val="center"/>
                </w:tcPr>
                <w:p w14:paraId="24EF126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危废贮存点</w:t>
                  </w:r>
                </w:p>
              </w:tc>
              <w:tc>
                <w:tcPr>
                  <w:tcW w:w="683" w:type="pct"/>
                  <w:noWrap w:val="0"/>
                  <w:vAlign w:val="center"/>
                </w:tcPr>
                <w:p w14:paraId="43E9B403">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废导热油</w:t>
                  </w:r>
                </w:p>
              </w:tc>
              <w:tc>
                <w:tcPr>
                  <w:tcW w:w="1487" w:type="dxa"/>
                  <w:noWrap w:val="0"/>
                  <w:vAlign w:val="center"/>
                </w:tcPr>
                <w:p w14:paraId="50DDF987">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废矿物油</w:t>
                  </w:r>
                </w:p>
              </w:tc>
              <w:tc>
                <w:tcPr>
                  <w:tcW w:w="2225" w:type="dxa"/>
                  <w:noWrap w:val="0"/>
                  <w:vAlign w:val="center"/>
                </w:tcPr>
                <w:p w14:paraId="51E352D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rPr>
                  </w:pPr>
                  <w:r>
                    <w:rPr>
                      <w:rFonts w:hint="eastAsia" w:ascii="Times New Roman" w:hAnsi="Times New Roman" w:eastAsia="宋体" w:cs="宋体"/>
                      <w:caps w:val="0"/>
                      <w:color w:val="auto"/>
                      <w:spacing w:val="0"/>
                      <w:kern w:val="0"/>
                      <w:sz w:val="21"/>
                      <w:szCs w:val="21"/>
                      <w:highlight w:val="none"/>
                    </w:rPr>
                    <w:t>泄漏，火灾等引发的伴生/次生污染物排放</w:t>
                  </w:r>
                </w:p>
              </w:tc>
              <w:tc>
                <w:tcPr>
                  <w:tcW w:w="760" w:type="pct"/>
                  <w:tcBorders>
                    <w:right w:val="nil"/>
                  </w:tcBorders>
                  <w:noWrap w:val="0"/>
                  <w:vAlign w:val="center"/>
                </w:tcPr>
                <w:p w14:paraId="5A89B9F2">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rPr>
                    <w:t>地表水、大气</w:t>
                  </w:r>
                </w:p>
              </w:tc>
            </w:tr>
            <w:tr w14:paraId="1A04A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41" w:type="pct"/>
                  <w:tcBorders>
                    <w:left w:val="nil"/>
                  </w:tcBorders>
                  <w:noWrap w:val="0"/>
                  <w:vAlign w:val="center"/>
                </w:tcPr>
                <w:p w14:paraId="5A3FC58A">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3</w:t>
                  </w:r>
                </w:p>
              </w:tc>
              <w:tc>
                <w:tcPr>
                  <w:tcW w:w="834" w:type="pct"/>
                  <w:noWrap w:val="0"/>
                  <w:vAlign w:val="center"/>
                </w:tcPr>
                <w:p w14:paraId="115EAD7E">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燃料储罐</w:t>
                  </w:r>
                </w:p>
              </w:tc>
              <w:tc>
                <w:tcPr>
                  <w:tcW w:w="683" w:type="pct"/>
                  <w:noWrap w:val="0"/>
                  <w:vAlign w:val="center"/>
                </w:tcPr>
                <w:p w14:paraId="594117E2">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柴油</w:t>
                  </w:r>
                </w:p>
              </w:tc>
              <w:tc>
                <w:tcPr>
                  <w:tcW w:w="1487" w:type="dxa"/>
                  <w:noWrap w:val="0"/>
                  <w:vAlign w:val="center"/>
                </w:tcPr>
                <w:p w14:paraId="3DC2CEE3">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sz w:val="21"/>
                      <w:szCs w:val="21"/>
                      <w:highlight w:val="none"/>
                      <w:lang w:val="en-US" w:eastAsia="zh-CN"/>
                    </w:rPr>
                  </w:pPr>
                  <w:r>
                    <w:rPr>
                      <w:rFonts w:hint="eastAsia" w:ascii="Times New Roman" w:hAnsi="Times New Roman" w:eastAsia="宋体" w:cs="宋体"/>
                      <w:caps w:val="0"/>
                      <w:color w:val="auto"/>
                      <w:spacing w:val="0"/>
                      <w:sz w:val="21"/>
                      <w:szCs w:val="21"/>
                      <w:highlight w:val="none"/>
                      <w:lang w:val="en-US" w:eastAsia="zh-CN"/>
                    </w:rPr>
                    <w:t>矿物油</w:t>
                  </w:r>
                </w:p>
              </w:tc>
              <w:tc>
                <w:tcPr>
                  <w:tcW w:w="2225" w:type="dxa"/>
                  <w:noWrap w:val="0"/>
                  <w:vAlign w:val="center"/>
                </w:tcPr>
                <w:p w14:paraId="370DE00A">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rPr>
                  </w:pPr>
                  <w:r>
                    <w:rPr>
                      <w:rFonts w:hint="eastAsia" w:ascii="Times New Roman" w:hAnsi="Times New Roman" w:eastAsia="宋体" w:cs="宋体"/>
                      <w:caps w:val="0"/>
                      <w:color w:val="auto"/>
                      <w:spacing w:val="0"/>
                      <w:kern w:val="0"/>
                      <w:sz w:val="21"/>
                      <w:szCs w:val="21"/>
                      <w:highlight w:val="none"/>
                    </w:rPr>
                    <w:t>泄漏，火灾等引发的伴生/次生污染物排放</w:t>
                  </w:r>
                </w:p>
              </w:tc>
              <w:tc>
                <w:tcPr>
                  <w:tcW w:w="1185" w:type="dxa"/>
                  <w:tcBorders>
                    <w:right w:val="nil"/>
                  </w:tcBorders>
                  <w:noWrap w:val="0"/>
                  <w:vAlign w:val="center"/>
                </w:tcPr>
                <w:p w14:paraId="3EC1DC33">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sz w:val="21"/>
                      <w:szCs w:val="21"/>
                      <w:highlight w:val="none"/>
                    </w:rPr>
                  </w:pPr>
                  <w:r>
                    <w:rPr>
                      <w:rFonts w:hint="eastAsia" w:ascii="Times New Roman" w:hAnsi="Times New Roman" w:eastAsia="宋体" w:cs="宋体"/>
                      <w:caps w:val="0"/>
                      <w:color w:val="auto"/>
                      <w:spacing w:val="0"/>
                      <w:sz w:val="21"/>
                      <w:szCs w:val="21"/>
                      <w:highlight w:val="none"/>
                    </w:rPr>
                    <w:t>地表水、大气</w:t>
                  </w:r>
                </w:p>
              </w:tc>
            </w:tr>
          </w:tbl>
          <w:p w14:paraId="120CF273">
            <w:pPr>
              <w:shd w:val="clear"/>
              <w:spacing w:line="360" w:lineRule="auto"/>
              <w:rPr>
                <w:rFonts w:hint="eastAsia" w:ascii="Times New Roman" w:hAnsi="Times New Roman" w:eastAsia="宋体" w:cs="宋体"/>
                <w:b/>
                <w:bCs/>
                <w:caps w:val="0"/>
                <w:color w:val="auto"/>
                <w:spacing w:val="0"/>
                <w:sz w:val="24"/>
                <w:highlight w:val="none"/>
              </w:rPr>
            </w:pPr>
            <w:r>
              <w:rPr>
                <w:rFonts w:hint="eastAsia" w:ascii="Times New Roman" w:hAnsi="Times New Roman" w:eastAsia="宋体" w:cs="宋体"/>
                <w:b/>
                <w:bCs/>
                <w:caps w:val="0"/>
                <w:color w:val="auto"/>
                <w:spacing w:val="0"/>
                <w:sz w:val="24"/>
                <w:highlight w:val="none"/>
                <w:lang w:val="en-US" w:eastAsia="zh-CN"/>
              </w:rPr>
              <w:t>6.3</w:t>
            </w:r>
            <w:r>
              <w:rPr>
                <w:rFonts w:hint="eastAsia" w:ascii="Times New Roman" w:hAnsi="Times New Roman" w:eastAsia="宋体" w:cs="宋体"/>
                <w:b/>
                <w:bCs/>
                <w:caps w:val="0"/>
                <w:color w:val="auto"/>
                <w:spacing w:val="0"/>
                <w:sz w:val="24"/>
                <w:highlight w:val="none"/>
              </w:rPr>
              <w:t>环境风险防范措施</w:t>
            </w:r>
          </w:p>
          <w:p w14:paraId="653E46F5">
            <w:pPr>
              <w:shd w:val="clear"/>
              <w:spacing w:line="360" w:lineRule="auto"/>
              <w:ind w:firstLine="360" w:firstLineChars="150"/>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highlight w:val="none"/>
              </w:rPr>
              <w:t>（1）环境风险防范</w:t>
            </w:r>
            <w:r>
              <w:rPr>
                <w:rFonts w:hint="eastAsia" w:ascii="Times New Roman" w:hAnsi="Times New Roman" w:eastAsia="宋体" w:cs="宋体"/>
                <w:caps w:val="0"/>
                <w:color w:val="auto"/>
                <w:spacing w:val="0"/>
                <w:sz w:val="24"/>
                <w:highlight w:val="none"/>
                <w:lang w:val="en-US" w:eastAsia="zh-CN"/>
              </w:rPr>
              <w:t>及应急</w:t>
            </w:r>
            <w:r>
              <w:rPr>
                <w:rFonts w:hint="eastAsia" w:ascii="Times New Roman" w:hAnsi="Times New Roman" w:eastAsia="宋体" w:cs="宋体"/>
                <w:caps w:val="0"/>
                <w:color w:val="auto"/>
                <w:spacing w:val="0"/>
                <w:sz w:val="24"/>
                <w:highlight w:val="none"/>
              </w:rPr>
              <w:t>措施</w:t>
            </w:r>
          </w:p>
          <w:p w14:paraId="77AF0B3A">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highlight w:val="none"/>
              </w:rPr>
              <w:t>①</w:t>
            </w:r>
            <w:r>
              <w:rPr>
                <w:rFonts w:hint="eastAsia" w:ascii="Times New Roman" w:hAnsi="Times New Roman" w:eastAsia="宋体" w:cs="宋体"/>
                <w:caps w:val="0"/>
                <w:color w:val="auto"/>
                <w:spacing w:val="0"/>
                <w:sz w:val="24"/>
                <w:highlight w:val="none"/>
                <w:lang w:eastAsia="zh-CN"/>
              </w:rPr>
              <w:t>危险废物贮存点</w:t>
            </w:r>
            <w:r>
              <w:rPr>
                <w:rFonts w:hint="eastAsia" w:ascii="Times New Roman" w:hAnsi="Times New Roman" w:eastAsia="宋体" w:cs="宋体"/>
                <w:caps w:val="0"/>
                <w:color w:val="auto"/>
                <w:spacing w:val="0"/>
                <w:sz w:val="24"/>
                <w:highlight w:val="none"/>
              </w:rPr>
              <w:t>地面及裙角做耐腐蚀硬化、防渗漏处理，且表面无缝隙，所使用的材料要与危险废物相容；危险废物应储存于密闭容器中，并在容器外表设置环境保护图形标志和警示标志；危险废物应选择防腐、防漏、防磕碰、密封严格的容器进行贮存和运输，储存于阴凉、通风良好的</w:t>
            </w:r>
            <w:r>
              <w:rPr>
                <w:rFonts w:hint="eastAsia" w:ascii="Times New Roman" w:hAnsi="Times New Roman" w:eastAsia="宋体" w:cs="宋体"/>
                <w:caps w:val="0"/>
                <w:color w:val="auto"/>
                <w:spacing w:val="0"/>
                <w:sz w:val="24"/>
                <w:highlight w:val="none"/>
                <w:lang w:val="en-US" w:eastAsia="zh-CN"/>
              </w:rPr>
              <w:t>危险废物贮存点</w:t>
            </w:r>
            <w:r>
              <w:rPr>
                <w:rFonts w:hint="eastAsia" w:ascii="Times New Roman" w:hAnsi="Times New Roman" w:eastAsia="宋体" w:cs="宋体"/>
                <w:caps w:val="0"/>
                <w:color w:val="auto"/>
                <w:spacing w:val="0"/>
                <w:sz w:val="24"/>
                <w:highlight w:val="none"/>
              </w:rPr>
              <w:t>，远离火种、热源，应有专门人员看管。</w:t>
            </w:r>
          </w:p>
          <w:p w14:paraId="67584079">
            <w:pPr>
              <w:spacing w:line="360" w:lineRule="auto"/>
              <w:ind w:firstLine="480" w:firstLineChars="200"/>
              <w:rPr>
                <w:rFonts w:hint="eastAsia" w:ascii="Times New Roman" w:hAnsi="Times New Roman" w:eastAsia="宋体" w:cs="宋体"/>
                <w:caps w:val="0"/>
                <w:color w:val="auto"/>
                <w:sz w:val="24"/>
                <w:highlight w:val="none"/>
              </w:rPr>
            </w:pPr>
            <w:r>
              <w:rPr>
                <w:rFonts w:hint="eastAsia" w:ascii="Times New Roman" w:hAnsi="Times New Roman" w:eastAsia="宋体" w:cs="宋体"/>
                <w:caps w:val="0"/>
                <w:color w:val="auto"/>
                <w:sz w:val="24"/>
                <w:highlight w:val="none"/>
                <w:lang w:val="en-US" w:eastAsia="zh-CN"/>
              </w:rPr>
              <w:t>②柴油储罐区实行专罐专储，严格遵循《危险化学品重大危险源辨识》（GB 18218）要求，合理规划罐区与主干道及建构筑物间距，确保安全防护距离合规。罐区地面采用混凝土硬化并实施防渗处理（渗透系数≤10</w:t>
            </w:r>
            <w:r>
              <w:rPr>
                <w:rFonts w:hint="eastAsia" w:ascii="Times New Roman" w:hAnsi="Times New Roman" w:eastAsia="宋体" w:cs="宋体"/>
                <w:caps w:val="0"/>
                <w:color w:val="auto"/>
                <w:sz w:val="24"/>
                <w:highlight w:val="none"/>
                <w:vertAlign w:val="superscript"/>
                <w:lang w:val="en-US" w:eastAsia="zh-CN"/>
              </w:rPr>
              <w:t>-10</w:t>
            </w:r>
            <w:r>
              <w:rPr>
                <w:rFonts w:hint="eastAsia" w:ascii="Times New Roman" w:hAnsi="Times New Roman" w:eastAsia="宋体" w:cs="宋体"/>
                <w:caps w:val="0"/>
                <w:color w:val="auto"/>
                <w:sz w:val="24"/>
                <w:highlight w:val="none"/>
                <w:lang w:val="en-US" w:eastAsia="zh-CN"/>
              </w:rPr>
              <w:t>cm/s），设置防爆电气设备、防火堤及机械通风系统（换气次数≥12次/小时），严禁烟火及易产生静电的作业行为。单个储罐最大容积控制为5t，罐区配套建设≥</w:t>
            </w:r>
            <w:r>
              <w:rPr>
                <w:rFonts w:hint="eastAsia" w:ascii="Times New Roman" w:hAnsi="Times New Roman" w:cs="宋体"/>
                <w:caps w:val="0"/>
                <w:color w:val="auto"/>
                <w:sz w:val="24"/>
                <w:highlight w:val="none"/>
                <w:lang w:val="en-US" w:eastAsia="zh-CN"/>
              </w:rPr>
              <w:t>7.15</w:t>
            </w:r>
            <w:r>
              <w:rPr>
                <w:rFonts w:hint="eastAsia" w:ascii="Times New Roman" w:hAnsi="Times New Roman" w:eastAsia="宋体" w:cs="宋体"/>
                <w:caps w:val="0"/>
                <w:color w:val="auto"/>
                <w:sz w:val="24"/>
                <w:highlight w:val="none"/>
                <w:lang w:val="en-US" w:eastAsia="zh-CN"/>
              </w:rPr>
              <w:t>m</w:t>
            </w:r>
            <w:r>
              <w:rPr>
                <w:rFonts w:hint="eastAsia" w:ascii="Times New Roman" w:hAnsi="Times New Roman" w:eastAsia="宋体" w:cs="宋体"/>
                <w:caps w:val="0"/>
                <w:color w:val="auto"/>
                <w:sz w:val="24"/>
                <w:highlight w:val="none"/>
                <w:vertAlign w:val="superscript"/>
                <w:lang w:val="en-US" w:eastAsia="zh-CN"/>
              </w:rPr>
              <w:t>3</w:t>
            </w:r>
            <w:r>
              <w:rPr>
                <w:rFonts w:hint="eastAsia" w:ascii="Times New Roman" w:hAnsi="Times New Roman" w:eastAsia="宋体" w:cs="宋体"/>
                <w:caps w:val="0"/>
                <w:color w:val="auto"/>
                <w:sz w:val="24"/>
                <w:highlight w:val="none"/>
                <w:lang w:val="en-US" w:eastAsia="zh-CN"/>
              </w:rPr>
              <w:t>的应急备用罐，用于事故状态下泄漏物料的转移贮存；同步设置事故应急池（事故池根据燃料最大储存量考虑，本项目最大存储量为</w:t>
            </w:r>
            <w:r>
              <w:rPr>
                <w:rFonts w:hint="eastAsia" w:ascii="Times New Roman" w:hAnsi="Times New Roman" w:cs="宋体"/>
                <w:caps w:val="0"/>
                <w:color w:val="auto"/>
                <w:sz w:val="24"/>
                <w:highlight w:val="none"/>
                <w:lang w:val="en-US" w:eastAsia="zh-CN"/>
              </w:rPr>
              <w:t>6.5m</w:t>
            </w:r>
            <w:r>
              <w:rPr>
                <w:rFonts w:hint="eastAsia" w:ascii="Times New Roman" w:hAnsi="Times New Roman" w:cs="宋体"/>
                <w:caps w:val="0"/>
                <w:color w:val="auto"/>
                <w:sz w:val="24"/>
                <w:highlight w:val="none"/>
                <w:vertAlign w:val="superscript"/>
                <w:lang w:val="en-US" w:eastAsia="zh-CN"/>
              </w:rPr>
              <w:t>3</w:t>
            </w:r>
            <w:r>
              <w:rPr>
                <w:rFonts w:hint="eastAsia" w:ascii="Times New Roman" w:hAnsi="Times New Roman" w:eastAsia="宋体" w:cs="宋体"/>
                <w:caps w:val="0"/>
                <w:color w:val="auto"/>
                <w:sz w:val="24"/>
                <w:highlight w:val="none"/>
                <w:lang w:val="en-US" w:eastAsia="zh-CN"/>
              </w:rPr>
              <w:t>，事故池按最大存储量3倍计算，因此本项目事故池容积设为</w:t>
            </w:r>
            <w:r>
              <w:rPr>
                <w:rFonts w:hint="eastAsia" w:ascii="Times New Roman" w:hAnsi="Times New Roman" w:cs="宋体"/>
                <w:caps w:val="0"/>
                <w:color w:val="auto"/>
                <w:sz w:val="24"/>
                <w:highlight w:val="none"/>
                <w:lang w:val="en-US" w:eastAsia="zh-CN"/>
              </w:rPr>
              <w:t>19.5</w:t>
            </w:r>
            <w:r>
              <w:rPr>
                <w:rFonts w:hint="eastAsia" w:ascii="Times New Roman" w:hAnsi="Times New Roman" w:eastAsia="宋体" w:cs="宋体"/>
                <w:caps w:val="0"/>
                <w:color w:val="auto"/>
                <w:sz w:val="24"/>
                <w:highlight w:val="none"/>
                <w:lang w:val="en-US" w:eastAsia="zh-CN"/>
              </w:rPr>
              <w:t>m</w:t>
            </w:r>
            <w:r>
              <w:rPr>
                <w:rFonts w:hint="eastAsia" w:ascii="Times New Roman" w:hAnsi="Times New Roman" w:eastAsia="宋体" w:cs="宋体"/>
                <w:caps w:val="0"/>
                <w:color w:val="auto"/>
                <w:sz w:val="24"/>
                <w:highlight w:val="none"/>
                <w:vertAlign w:val="superscript"/>
                <w:lang w:val="en-US" w:eastAsia="zh-CN"/>
              </w:rPr>
              <w:t>3</w:t>
            </w:r>
            <w:r>
              <w:rPr>
                <w:rFonts w:hint="eastAsia" w:ascii="Times New Roman" w:hAnsi="Times New Roman" w:eastAsia="宋体" w:cs="宋体"/>
                <w:caps w:val="0"/>
                <w:color w:val="auto"/>
                <w:sz w:val="24"/>
                <w:highlight w:val="none"/>
                <w:lang w:val="en-US" w:eastAsia="zh-CN"/>
              </w:rPr>
              <w:t>），确保消防废水、泄漏物料不外排。</w:t>
            </w:r>
          </w:p>
          <w:p w14:paraId="5269E2D1">
            <w:pPr>
              <w:spacing w:line="360" w:lineRule="auto"/>
              <w:ind w:firstLine="480" w:firstLineChars="200"/>
              <w:rPr>
                <w:rFonts w:hint="eastAsia" w:ascii="Times New Roman" w:hAnsi="Times New Roman" w:eastAsia="宋体" w:cs="宋体"/>
                <w:caps w:val="0"/>
                <w:color w:val="auto"/>
                <w:sz w:val="24"/>
                <w:highlight w:val="none"/>
              </w:rPr>
            </w:pPr>
            <w:r>
              <w:rPr>
                <w:rFonts w:hint="eastAsia" w:ascii="Times New Roman" w:hAnsi="Times New Roman" w:eastAsia="宋体" w:cs="宋体"/>
                <w:caps w:val="0"/>
                <w:color w:val="auto"/>
                <w:sz w:val="24"/>
                <w:highlight w:val="none"/>
              </w:rPr>
              <w:t>②围堰设置与泄漏拦截</w:t>
            </w:r>
          </w:p>
          <w:p w14:paraId="387780FC">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z w:val="24"/>
                <w:highlight w:val="none"/>
                <w:lang w:val="en-US" w:eastAsia="zh-CN"/>
              </w:rPr>
              <w:t>储罐周边设置高度≥1.2米的环形围堰（容积≥单个储罐容量110%），并配套导流沟及切换阀门，与应急备用罐、事故应急池形成封闭收集系统。正常状态下，导流阀门保持关闭；泄漏事故发生时，围堰可即时拦截物料，通过人工或自动切换阀门，将泄漏物料导入应急备用罐，防止扩散至外环境。罐区配备移动式消防栓、泡沫灭火器等消防设施，确保初期火灾防控能力。</w:t>
            </w:r>
          </w:p>
          <w:p w14:paraId="53C38B04">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highlight w:val="none"/>
                <w:lang w:val="en-US" w:eastAsia="zh-CN"/>
              </w:rPr>
              <w:t>③</w:t>
            </w:r>
            <w:r>
              <w:rPr>
                <w:rFonts w:hint="eastAsia" w:ascii="Times New Roman" w:hAnsi="Times New Roman" w:eastAsia="宋体" w:cs="宋体"/>
                <w:caps w:val="0"/>
                <w:color w:val="auto"/>
                <w:spacing w:val="0"/>
                <w:sz w:val="24"/>
                <w:highlight w:val="none"/>
              </w:rPr>
              <w:t>加强对设备的维修管理，建立定期维护的人员编制和相关制度，制定严格的规范操作规程，以保证各装置的正常运转；</w:t>
            </w:r>
          </w:p>
          <w:p w14:paraId="71CAB4CA">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highlight w:val="none"/>
                <w:lang w:val="en-US" w:eastAsia="zh-CN"/>
              </w:rPr>
              <w:t>④</w:t>
            </w:r>
            <w:r>
              <w:rPr>
                <w:rFonts w:hint="eastAsia" w:ascii="Times New Roman" w:hAnsi="Times New Roman" w:eastAsia="宋体" w:cs="宋体"/>
                <w:caps w:val="0"/>
                <w:color w:val="auto"/>
                <w:spacing w:val="0"/>
                <w:sz w:val="24"/>
                <w:highlight w:val="none"/>
              </w:rPr>
              <w:t>油类物质及危害水环境物质均储存于阴凉、通风的贮存间内，远离火种、热源。房间内粘贴警示标志，周边严禁烟火，防止发生火灾爆炸等危险；</w:t>
            </w:r>
          </w:p>
          <w:p w14:paraId="66332BF3">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highlight w:val="none"/>
                <w:lang w:val="en-US" w:eastAsia="zh-CN"/>
              </w:rPr>
              <w:t>⑤</w:t>
            </w:r>
            <w:r>
              <w:rPr>
                <w:rFonts w:hint="eastAsia" w:ascii="Times New Roman" w:hAnsi="Times New Roman" w:eastAsia="宋体" w:cs="宋体"/>
                <w:caps w:val="0"/>
                <w:color w:val="auto"/>
                <w:spacing w:val="0"/>
                <w:sz w:val="24"/>
                <w:highlight w:val="none"/>
              </w:rPr>
              <w:t xml:space="preserve">按照《建筑灭火器配置设计规范》（GB50140-2005），库房内配置一定数量不同类型、不同规格的移动式灭火器材，以便及时扑救初始零星火灾。 </w:t>
            </w:r>
          </w:p>
          <w:p w14:paraId="65111406">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highlight w:val="none"/>
              </w:rPr>
              <w:t>（2）环境风险应急措施</w:t>
            </w:r>
          </w:p>
          <w:p w14:paraId="4986573E">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highlight w:val="none"/>
              </w:rPr>
              <w:t>①一旦发现室内风险物质泄漏，现场人员应佩戴口罩，做好个人防护，迅速将包装桶倾斜，使破损处朝上，防止继续泄漏，然后将其转移至空桶内。并及时采用砂土或其他不燃材料吸附或吸收，吸附废物集中收集后委托有资质的单位处置。</w:t>
            </w:r>
          </w:p>
          <w:p w14:paraId="192432BA">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highlight w:val="none"/>
              </w:rPr>
              <w:t>②发生室外泄漏事故时，为防止对区域地表水环境造成影响，及时封堵雨水排口，防止经由雨水排口排入附近河流中造成水体污染。</w:t>
            </w:r>
          </w:p>
          <w:p w14:paraId="0A43E391">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highlight w:val="none"/>
              </w:rPr>
              <w:t>③当发生火灾事故时，现场人员或其他人员应该立刻拨打火警电话119，并立即通知有关人员停止作业，尽快切断所有电源，组织人员和其他易燃物品的疏散，使用灭火器及沙土即可。</w:t>
            </w:r>
          </w:p>
          <w:p w14:paraId="2EF03AC1">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rPr>
            </w:pPr>
            <w:r>
              <w:rPr>
                <w:rFonts w:hint="eastAsia" w:ascii="Times New Roman" w:hAnsi="Times New Roman" w:eastAsia="宋体" w:cs="宋体"/>
                <w:caps w:val="0"/>
                <w:color w:val="auto"/>
                <w:spacing w:val="0"/>
                <w:sz w:val="24"/>
                <w:highlight w:val="none"/>
              </w:rPr>
              <w:t>综上可知，本项目拟建设的应急防范措施基本满足风险防控要求。</w:t>
            </w:r>
          </w:p>
          <w:p w14:paraId="5FEA155D">
            <w:pPr>
              <w:shd w:val="clear"/>
              <w:spacing w:line="360" w:lineRule="auto"/>
              <w:rPr>
                <w:rFonts w:hint="eastAsia" w:ascii="Times New Roman" w:hAnsi="Times New Roman" w:eastAsia="宋体" w:cs="宋体"/>
                <w:caps w:val="0"/>
                <w:color w:val="auto"/>
                <w:spacing w:val="0"/>
                <w:highlight w:val="none"/>
              </w:rPr>
            </w:pPr>
            <w:r>
              <w:rPr>
                <w:rFonts w:hint="eastAsia" w:ascii="Times New Roman" w:hAnsi="Times New Roman" w:eastAsia="宋体" w:cs="宋体"/>
                <w:b/>
                <w:bCs/>
                <w:caps w:val="0"/>
                <w:color w:val="auto"/>
                <w:spacing w:val="0"/>
                <w:sz w:val="24"/>
                <w:highlight w:val="none"/>
                <w:lang w:val="en-US" w:eastAsia="zh-CN"/>
              </w:rPr>
              <w:t>6.4</w:t>
            </w:r>
            <w:r>
              <w:rPr>
                <w:rFonts w:hint="eastAsia" w:ascii="Times New Roman" w:hAnsi="Times New Roman" w:eastAsia="宋体" w:cs="宋体"/>
                <w:b/>
                <w:bCs/>
                <w:caps w:val="0"/>
                <w:color w:val="auto"/>
                <w:spacing w:val="0"/>
                <w:sz w:val="24"/>
                <w:highlight w:val="none"/>
              </w:rPr>
              <w:t>事故应急预案</w:t>
            </w:r>
          </w:p>
          <w:p w14:paraId="7E3F82FF">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sz w:val="24"/>
                <w:highlight w:val="none"/>
                <w:lang w:val="en-US" w:eastAsia="zh-CN"/>
              </w:rPr>
            </w:pPr>
            <w:r>
              <w:rPr>
                <w:rFonts w:hint="eastAsia" w:ascii="Times New Roman" w:hAnsi="Times New Roman" w:eastAsia="宋体" w:cs="宋体"/>
                <w:caps w:val="0"/>
                <w:color w:val="auto"/>
                <w:spacing w:val="0"/>
                <w:sz w:val="24"/>
                <w:highlight w:val="none"/>
              </w:rPr>
              <w:t>通过对污染事故的风险评价，建设单位和各有关部门应制定实施突发性事故应急预案，降低重大环境污染事故发生的概率，消除事故风险隐患。根据环保部《突发环境事件应急管理办法》（环境保护部令第34号）、《企业事业单位突发环境事件应急预案备案管理办法（试行）》（环发</w:t>
            </w:r>
            <w:r>
              <w:rPr>
                <w:rFonts w:hint="eastAsia" w:ascii="Times New Roman" w:hAnsi="Times New Roman" w:eastAsia="宋体" w:cs="宋体"/>
                <w:caps w:val="0"/>
                <w:color w:val="auto"/>
                <w:spacing w:val="0"/>
                <w:sz w:val="24"/>
                <w:highlight w:val="none"/>
                <w:lang w:eastAsia="zh-CN"/>
              </w:rPr>
              <w:t>〔2015〕4号</w:t>
            </w:r>
            <w:r>
              <w:rPr>
                <w:rFonts w:hint="eastAsia" w:ascii="Times New Roman" w:hAnsi="Times New Roman" w:eastAsia="宋体" w:cs="宋体"/>
                <w:caps w:val="0"/>
                <w:color w:val="auto"/>
                <w:spacing w:val="0"/>
                <w:sz w:val="24"/>
                <w:highlight w:val="none"/>
              </w:rPr>
              <w:t>）、环保部《关于进一步加强环境影响评价管理防范环境风险的通知》（环发</w:t>
            </w:r>
            <w:r>
              <w:rPr>
                <w:rFonts w:hint="eastAsia" w:ascii="Times New Roman" w:hAnsi="Times New Roman" w:eastAsia="宋体" w:cs="宋体"/>
                <w:caps w:val="0"/>
                <w:color w:val="auto"/>
                <w:spacing w:val="0"/>
                <w:sz w:val="24"/>
                <w:highlight w:val="none"/>
                <w:lang w:eastAsia="zh-CN"/>
              </w:rPr>
              <w:t>〔2012〕77号</w:t>
            </w:r>
            <w:r>
              <w:rPr>
                <w:rFonts w:hint="eastAsia" w:ascii="Times New Roman" w:hAnsi="Times New Roman" w:eastAsia="宋体" w:cs="宋体"/>
                <w:caps w:val="0"/>
                <w:color w:val="auto"/>
                <w:spacing w:val="0"/>
                <w:sz w:val="24"/>
                <w:highlight w:val="none"/>
              </w:rPr>
              <w:t>）、《企业突发环境事件风险分级方法》（HJ941-2018）等的规定和要求，建设单位应编制突发环境事件应急预案并尽快向所在地生态环境主管部门进行备案，同时注意编制的应急预案应与沿线各区域、各相关企业应急系统衔接。</w:t>
            </w:r>
            <w:r>
              <w:rPr>
                <w:rFonts w:hint="eastAsia" w:ascii="Times New Roman" w:hAnsi="Times New Roman" w:eastAsia="宋体" w:cs="宋体"/>
                <w:caps w:val="0"/>
                <w:color w:val="auto"/>
                <w:spacing w:val="0"/>
                <w:sz w:val="24"/>
                <w:highlight w:val="none"/>
                <w:lang w:val="en-US" w:eastAsia="zh-CN"/>
              </w:rPr>
              <w:t>本项目建成后应根据现有工程风险物质情况结合本项目对全厂进行编制突发环境事件应急预案并报送鸡西市生态环境局进行备案。</w:t>
            </w:r>
          </w:p>
          <w:p w14:paraId="54273FAF">
            <w:pPr>
              <w:shd w:val="clear"/>
              <w:adjustRightInd w:val="0"/>
              <w:snapToGrid w:val="0"/>
              <w:spacing w:line="360" w:lineRule="auto"/>
              <w:rPr>
                <w:rFonts w:hint="eastAsia" w:ascii="Times New Roman" w:hAnsi="Times New Roman" w:eastAsia="宋体" w:cs="宋体"/>
                <w:b/>
                <w:bCs/>
                <w:caps w:val="0"/>
                <w:color w:val="auto"/>
                <w:spacing w:val="0"/>
                <w:kern w:val="0"/>
                <w:sz w:val="24"/>
                <w:highlight w:val="none"/>
              </w:rPr>
            </w:pPr>
            <w:r>
              <w:rPr>
                <w:rFonts w:hint="eastAsia" w:ascii="Times New Roman" w:hAnsi="Times New Roman" w:eastAsia="宋体" w:cs="宋体"/>
                <w:b/>
                <w:bCs/>
                <w:caps w:val="0"/>
                <w:color w:val="auto"/>
                <w:spacing w:val="0"/>
                <w:kern w:val="0"/>
                <w:sz w:val="24"/>
                <w:highlight w:val="none"/>
                <w:lang w:val="en-US" w:eastAsia="zh-CN"/>
              </w:rPr>
              <w:t>6.5</w:t>
            </w:r>
            <w:r>
              <w:rPr>
                <w:rFonts w:hint="eastAsia" w:ascii="Times New Roman" w:hAnsi="Times New Roman" w:eastAsia="宋体" w:cs="宋体"/>
                <w:b/>
                <w:bCs/>
                <w:caps w:val="0"/>
                <w:color w:val="auto"/>
                <w:spacing w:val="0"/>
                <w:kern w:val="0"/>
                <w:sz w:val="24"/>
                <w:highlight w:val="none"/>
              </w:rPr>
              <w:t xml:space="preserve"> 分析结论</w:t>
            </w:r>
          </w:p>
          <w:p w14:paraId="529A916C">
            <w:pPr>
              <w:pStyle w:val="5"/>
              <w:keepNext w:val="0"/>
              <w:keepLines w:val="0"/>
              <w:pageBreakBefore w:val="0"/>
              <w:widowControl/>
              <w:kinsoku/>
              <w:wordWrap/>
              <w:overflowPunct/>
              <w:topLinePunct w:val="0"/>
              <w:autoSpaceDE/>
              <w:autoSpaceDN/>
              <w:bidi w:val="0"/>
              <w:adjustRightInd w:val="0"/>
              <w:snapToGrid w:val="0"/>
              <w:spacing w:before="0" w:after="0" w:line="360" w:lineRule="auto"/>
              <w:ind w:right="0"/>
              <w:textAlignment w:val="auto"/>
              <w:rPr>
                <w:rFonts w:hint="eastAsia" w:ascii="Times New Roman" w:hAnsi="Times New Roman" w:eastAsia="宋体" w:cs="宋体"/>
                <w:caps w:val="0"/>
                <w:color w:val="auto"/>
                <w:spacing w:val="0"/>
                <w:kern w:val="0"/>
                <w:sz w:val="24"/>
                <w:highlight w:val="none"/>
              </w:rPr>
            </w:pPr>
            <w:r>
              <w:rPr>
                <w:rFonts w:hint="eastAsia" w:ascii="Times New Roman" w:hAnsi="Times New Roman" w:eastAsia="宋体" w:cs="宋体"/>
                <w:caps w:val="0"/>
                <w:color w:val="auto"/>
                <w:spacing w:val="0"/>
                <w:kern w:val="0"/>
                <w:sz w:val="24"/>
                <w:highlight w:val="none"/>
              </w:rPr>
              <w:t>综上，本项目运行期存在泄漏风险事故，在严格落实上述风险防范措施后，可将风险事故降至最低，预计对周围环境影响控制在可防控范围内。</w:t>
            </w:r>
          </w:p>
          <w:p w14:paraId="0B3FB6D8">
            <w:pPr>
              <w:pStyle w:val="5"/>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宋体"/>
                <w:b/>
                <w:bCs/>
                <w:caps w:val="0"/>
                <w:color w:val="auto"/>
                <w:spacing w:val="0"/>
                <w:kern w:val="0"/>
                <w:sz w:val="21"/>
                <w:szCs w:val="16"/>
                <w:highlight w:val="none"/>
                <w:lang w:val="en-US" w:eastAsia="zh-CN"/>
              </w:rPr>
            </w:pPr>
            <w:r>
              <w:rPr>
                <w:rFonts w:hint="eastAsia" w:cs="宋体"/>
                <w:b/>
                <w:bCs/>
                <w:caps w:val="0"/>
                <w:color w:val="auto"/>
                <w:spacing w:val="0"/>
                <w:kern w:val="0"/>
                <w:sz w:val="21"/>
                <w:szCs w:val="16"/>
                <w:highlight w:val="none"/>
                <w:lang w:val="en-US" w:eastAsia="zh-CN"/>
              </w:rPr>
              <w:t>表4-16建设项目环境风险简单分析内容表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505"/>
              <w:gridCol w:w="1100"/>
              <w:gridCol w:w="1966"/>
              <w:gridCol w:w="925"/>
              <w:gridCol w:w="838"/>
              <w:gridCol w:w="1530"/>
            </w:tblGrid>
            <w:tr w14:paraId="37840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505" w:type="dxa"/>
                  <w:shd w:val="clear" w:color="auto" w:fill="auto"/>
                  <w:vAlign w:val="center"/>
                </w:tcPr>
                <w:p w14:paraId="5997F0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Style w:val="140"/>
                      <w:rFonts w:hint="eastAsia" w:ascii="宋体" w:hAnsi="宋体" w:eastAsia="宋体" w:cs="宋体"/>
                      <w:sz w:val="21"/>
                      <w:szCs w:val="21"/>
                      <w:highlight w:val="none"/>
                      <w:lang w:val="en-US" w:eastAsia="zh-CN" w:bidi="ar"/>
                    </w:rPr>
                    <w:t>建设项目名称</w:t>
                  </w:r>
                </w:p>
              </w:tc>
              <w:tc>
                <w:tcPr>
                  <w:tcW w:w="6359" w:type="dxa"/>
                  <w:gridSpan w:val="5"/>
                  <w:shd w:val="clear" w:color="auto" w:fill="auto"/>
                  <w:vAlign w:val="center"/>
                </w:tcPr>
                <w:p w14:paraId="5C9817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lang w:val="en-US" w:eastAsia="zh-CN"/>
                    </w:rPr>
                    <w:t>鸡西市燎盛新材料科技有限公司锅炉改造项目</w:t>
                  </w:r>
                </w:p>
              </w:tc>
            </w:tr>
            <w:tr w14:paraId="29CB8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505" w:type="dxa"/>
                  <w:shd w:val="clear" w:color="auto" w:fill="auto"/>
                  <w:vAlign w:val="center"/>
                </w:tcPr>
                <w:p w14:paraId="46866B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Style w:val="140"/>
                      <w:rFonts w:hint="eastAsia" w:ascii="宋体" w:hAnsi="宋体" w:eastAsia="宋体" w:cs="宋体"/>
                      <w:sz w:val="21"/>
                      <w:szCs w:val="21"/>
                      <w:highlight w:val="none"/>
                      <w:lang w:val="en-US" w:eastAsia="zh-CN" w:bidi="ar"/>
                    </w:rPr>
                    <w:t>建设地点</w:t>
                  </w:r>
                </w:p>
              </w:tc>
              <w:tc>
                <w:tcPr>
                  <w:tcW w:w="1100" w:type="dxa"/>
                  <w:shd w:val="clear" w:color="auto" w:fill="auto"/>
                  <w:vAlign w:val="center"/>
                </w:tcPr>
                <w:p w14:paraId="530C36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Style w:val="141"/>
                      <w:rFonts w:hint="eastAsia" w:ascii="宋体" w:hAnsi="宋体" w:eastAsia="宋体" w:cs="宋体"/>
                      <w:sz w:val="21"/>
                      <w:szCs w:val="21"/>
                      <w:highlight w:val="none"/>
                      <w:lang w:val="en-US" w:eastAsia="zh-CN" w:bidi="ar"/>
                    </w:rPr>
                    <w:t>(黑龙江)省</w:t>
                  </w:r>
                </w:p>
              </w:tc>
              <w:tc>
                <w:tcPr>
                  <w:tcW w:w="1966" w:type="dxa"/>
                  <w:shd w:val="clear" w:color="auto" w:fill="auto"/>
                  <w:vAlign w:val="center"/>
                </w:tcPr>
                <w:p w14:paraId="3B59A7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Style w:val="141"/>
                      <w:rFonts w:hint="eastAsia" w:ascii="宋体" w:hAnsi="宋体" w:eastAsia="宋体" w:cs="宋体"/>
                      <w:sz w:val="21"/>
                      <w:szCs w:val="21"/>
                      <w:highlight w:val="none"/>
                      <w:lang w:val="en-US" w:eastAsia="zh-CN" w:bidi="ar"/>
                    </w:rPr>
                    <w:t>(鸡西市)市</w:t>
                  </w:r>
                </w:p>
              </w:tc>
              <w:tc>
                <w:tcPr>
                  <w:tcW w:w="925" w:type="dxa"/>
                  <w:shd w:val="clear" w:color="auto" w:fill="auto"/>
                  <w:vAlign w:val="center"/>
                </w:tcPr>
                <w:p w14:paraId="625B32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Style w:val="141"/>
                      <w:rFonts w:hint="eastAsia" w:ascii="宋体" w:hAnsi="宋体" w:eastAsia="宋体" w:cs="宋体"/>
                      <w:sz w:val="21"/>
                      <w:szCs w:val="21"/>
                      <w:highlight w:val="none"/>
                      <w:lang w:val="en-US" w:eastAsia="zh-CN" w:bidi="ar"/>
                    </w:rPr>
                    <w:t>(梨树) 区</w:t>
                  </w:r>
                </w:p>
              </w:tc>
              <w:tc>
                <w:tcPr>
                  <w:tcW w:w="838" w:type="dxa"/>
                  <w:shd w:val="clear" w:color="auto" w:fill="auto"/>
                  <w:vAlign w:val="center"/>
                </w:tcPr>
                <w:p w14:paraId="79D658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Style w:val="141"/>
                      <w:rFonts w:hint="eastAsia" w:ascii="宋体" w:hAnsi="宋体" w:eastAsia="宋体" w:cs="宋体"/>
                      <w:sz w:val="21"/>
                      <w:szCs w:val="21"/>
                      <w:highlight w:val="none"/>
                      <w:lang w:val="en-US" w:eastAsia="zh-CN" w:bidi="ar"/>
                    </w:rPr>
                    <w:t>(/</w:t>
                  </w:r>
                </w:p>
              </w:tc>
              <w:tc>
                <w:tcPr>
                  <w:tcW w:w="1530" w:type="dxa"/>
                  <w:shd w:val="clear" w:color="auto" w:fill="auto"/>
                  <w:vAlign w:val="center"/>
                </w:tcPr>
                <w:p w14:paraId="549B24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Style w:val="141"/>
                      <w:rFonts w:hint="eastAsia" w:ascii="宋体" w:hAnsi="宋体" w:eastAsia="宋体" w:cs="宋体"/>
                      <w:sz w:val="21"/>
                      <w:szCs w:val="21"/>
                      <w:highlight w:val="none"/>
                      <w:lang w:val="en-US" w:eastAsia="zh-CN" w:bidi="ar"/>
                    </w:rPr>
                    <w:t>(/)园区</w:t>
                  </w:r>
                </w:p>
              </w:tc>
            </w:tr>
            <w:tr w14:paraId="5ADE7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05" w:type="dxa"/>
                  <w:shd w:val="clear" w:color="auto" w:fill="auto"/>
                  <w:vAlign w:val="center"/>
                </w:tcPr>
                <w:p w14:paraId="4869E4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Style w:val="140"/>
                      <w:rFonts w:hint="eastAsia" w:ascii="宋体" w:hAnsi="宋体" w:eastAsia="宋体" w:cs="宋体"/>
                      <w:sz w:val="21"/>
                      <w:szCs w:val="21"/>
                      <w:highlight w:val="none"/>
                      <w:lang w:val="en-US" w:eastAsia="zh-CN" w:bidi="ar"/>
                    </w:rPr>
                    <w:t>地理坐标</w:t>
                  </w:r>
                </w:p>
              </w:tc>
              <w:tc>
                <w:tcPr>
                  <w:tcW w:w="1100" w:type="dxa"/>
                  <w:shd w:val="clear" w:color="auto" w:fill="auto"/>
                  <w:vAlign w:val="center"/>
                </w:tcPr>
                <w:p w14:paraId="3598B6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Style w:val="141"/>
                      <w:rFonts w:hint="eastAsia" w:ascii="宋体" w:hAnsi="宋体" w:eastAsia="宋体" w:cs="宋体"/>
                      <w:sz w:val="21"/>
                      <w:szCs w:val="21"/>
                      <w:highlight w:val="none"/>
                      <w:lang w:val="en-US" w:eastAsia="zh-CN" w:bidi="ar"/>
                    </w:rPr>
                    <w:t>经度</w:t>
                  </w:r>
                </w:p>
              </w:tc>
              <w:tc>
                <w:tcPr>
                  <w:tcW w:w="1966" w:type="dxa"/>
                  <w:shd w:val="clear" w:color="auto" w:fill="auto"/>
                  <w:vAlign w:val="center"/>
                </w:tcPr>
                <w:p w14:paraId="4CDB78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eastAsia" w:ascii="宋体" w:hAnsi="宋体" w:eastAsia="宋体" w:cs="宋体"/>
                      <w:i w:val="0"/>
                      <w:iCs w:val="0"/>
                      <w:color w:val="000000"/>
                      <w:sz w:val="21"/>
                      <w:szCs w:val="21"/>
                      <w:highlight w:val="none"/>
                      <w:u w:val="none"/>
                      <w:lang w:val="en-US"/>
                    </w:rPr>
                  </w:pPr>
                  <w:r>
                    <w:rPr>
                      <w:rStyle w:val="141"/>
                      <w:rFonts w:hint="eastAsia" w:ascii="宋体" w:hAnsi="宋体" w:eastAsia="宋体" w:cs="宋体"/>
                      <w:sz w:val="21"/>
                      <w:szCs w:val="21"/>
                      <w:highlight w:val="none"/>
                      <w:lang w:val="en-US" w:eastAsia="zh-CN" w:bidi="ar"/>
                    </w:rPr>
                    <w:t>130°43'12.301″</w:t>
                  </w:r>
                </w:p>
              </w:tc>
              <w:tc>
                <w:tcPr>
                  <w:tcW w:w="925" w:type="dxa"/>
                  <w:shd w:val="clear" w:color="auto" w:fill="auto"/>
                  <w:vAlign w:val="center"/>
                </w:tcPr>
                <w:p w14:paraId="644559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Style w:val="141"/>
                      <w:rFonts w:hint="eastAsia" w:ascii="宋体" w:hAnsi="宋体" w:eastAsia="宋体" w:cs="宋体"/>
                      <w:sz w:val="21"/>
                      <w:szCs w:val="21"/>
                      <w:highlight w:val="none"/>
                      <w:lang w:val="en-US" w:eastAsia="zh-CN" w:bidi="ar"/>
                    </w:rPr>
                    <w:t>纬度</w:t>
                  </w:r>
                </w:p>
              </w:tc>
              <w:tc>
                <w:tcPr>
                  <w:tcW w:w="2368" w:type="dxa"/>
                  <w:gridSpan w:val="2"/>
                  <w:shd w:val="clear" w:color="auto" w:fill="auto"/>
                  <w:vAlign w:val="center"/>
                </w:tcPr>
                <w:p w14:paraId="3827DB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eastAsia" w:ascii="宋体" w:hAnsi="宋体" w:eastAsia="宋体" w:cs="宋体"/>
                      <w:i w:val="0"/>
                      <w:iCs w:val="0"/>
                      <w:color w:val="000000"/>
                      <w:sz w:val="21"/>
                      <w:szCs w:val="21"/>
                      <w:highlight w:val="none"/>
                      <w:u w:val="none"/>
                      <w:lang w:val="en-US"/>
                    </w:rPr>
                  </w:pPr>
                  <w:r>
                    <w:rPr>
                      <w:rStyle w:val="141"/>
                      <w:rFonts w:hint="eastAsia" w:ascii="宋体" w:hAnsi="宋体" w:eastAsia="宋体" w:cs="宋体"/>
                      <w:sz w:val="21"/>
                      <w:szCs w:val="21"/>
                      <w:highlight w:val="none"/>
                      <w:lang w:val="en-US" w:eastAsia="zh-CN" w:bidi="ar"/>
                    </w:rPr>
                    <w:t>45°4'8.318″</w:t>
                  </w:r>
                </w:p>
              </w:tc>
            </w:tr>
            <w:tr w14:paraId="6441D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505" w:type="dxa"/>
                  <w:shd w:val="clear" w:color="auto" w:fill="auto"/>
                  <w:vAlign w:val="center"/>
                </w:tcPr>
                <w:p w14:paraId="0A5E6F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Style w:val="140"/>
                      <w:rFonts w:hint="eastAsia" w:ascii="宋体" w:hAnsi="宋体" w:eastAsia="宋体" w:cs="宋体"/>
                      <w:sz w:val="21"/>
                      <w:szCs w:val="21"/>
                      <w:highlight w:val="none"/>
                      <w:lang w:val="en-US" w:eastAsia="zh-CN" w:bidi="ar"/>
                    </w:rPr>
                    <w:t>主要危险物质</w:t>
                  </w:r>
                  <w:r>
                    <w:rPr>
                      <w:rStyle w:val="140"/>
                      <w:rFonts w:hint="eastAsia" w:ascii="宋体" w:hAnsi="宋体" w:eastAsia="宋体" w:cs="宋体"/>
                      <w:sz w:val="21"/>
                      <w:szCs w:val="21"/>
                      <w:highlight w:val="none"/>
                      <w:lang w:val="en-US" w:eastAsia="zh-CN" w:bidi="ar"/>
                    </w:rPr>
                    <w:br w:type="textWrapping"/>
                  </w:r>
                  <w:r>
                    <w:rPr>
                      <w:rStyle w:val="140"/>
                      <w:rFonts w:hint="eastAsia" w:ascii="宋体" w:hAnsi="宋体" w:eastAsia="宋体" w:cs="宋体"/>
                      <w:sz w:val="21"/>
                      <w:szCs w:val="21"/>
                      <w:highlight w:val="none"/>
                      <w:lang w:val="en-US" w:eastAsia="zh-CN" w:bidi="ar"/>
                    </w:rPr>
                    <w:t>及分布</w:t>
                  </w:r>
                </w:p>
              </w:tc>
              <w:tc>
                <w:tcPr>
                  <w:tcW w:w="6359" w:type="dxa"/>
                  <w:gridSpan w:val="5"/>
                  <w:shd w:val="clear" w:color="auto" w:fill="auto"/>
                  <w:vAlign w:val="center"/>
                </w:tcPr>
                <w:p w14:paraId="78286F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lang w:val="en-US"/>
                    </w:rPr>
                  </w:pPr>
                  <w:r>
                    <w:rPr>
                      <w:rStyle w:val="141"/>
                      <w:rFonts w:hint="eastAsia" w:ascii="宋体" w:hAnsi="宋体" w:eastAsia="宋体" w:cs="宋体"/>
                      <w:sz w:val="21"/>
                      <w:szCs w:val="21"/>
                      <w:highlight w:val="none"/>
                      <w:lang w:val="en-US" w:eastAsia="zh-CN" w:bidi="ar"/>
                    </w:rPr>
                    <w:t>主要危险物质为废机油、废导热油、柴油</w:t>
                  </w:r>
                </w:p>
              </w:tc>
            </w:tr>
            <w:tr w14:paraId="06681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05" w:type="dxa"/>
                  <w:shd w:val="clear" w:color="auto" w:fill="auto"/>
                  <w:vAlign w:val="center"/>
                </w:tcPr>
                <w:p w14:paraId="278AD9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Style w:val="140"/>
                      <w:rFonts w:hint="eastAsia" w:ascii="宋体" w:hAnsi="宋体" w:eastAsia="宋体" w:cs="宋体"/>
                      <w:sz w:val="21"/>
                      <w:szCs w:val="21"/>
                      <w:highlight w:val="none"/>
                      <w:lang w:val="en-US" w:eastAsia="zh-CN" w:bidi="ar"/>
                    </w:rPr>
                    <w:t>环境影响途径及危害后果(大气、地表水、地下水等)</w:t>
                  </w:r>
                </w:p>
              </w:tc>
              <w:tc>
                <w:tcPr>
                  <w:tcW w:w="6359" w:type="dxa"/>
                  <w:gridSpan w:val="5"/>
                  <w:shd w:val="clear" w:color="auto" w:fill="auto"/>
                  <w:vAlign w:val="center"/>
                </w:tcPr>
                <w:p w14:paraId="13F8F0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Style w:val="141"/>
                      <w:rFonts w:hint="eastAsia" w:ascii="宋体" w:hAnsi="宋体" w:eastAsia="宋体" w:cs="宋体"/>
                      <w:sz w:val="21"/>
                      <w:szCs w:val="21"/>
                      <w:highlight w:val="none"/>
                      <w:lang w:val="en-US" w:eastAsia="zh-CN" w:bidi="ar"/>
                    </w:rPr>
                    <w:t>柴油、废机油、废导热油等为易燃物质，泄漏易引起火灾，造成大气污染。</w:t>
                  </w:r>
                </w:p>
              </w:tc>
            </w:tr>
            <w:tr w14:paraId="3F83C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0" w:hRule="atLeast"/>
                <w:jc w:val="center"/>
              </w:trPr>
              <w:tc>
                <w:tcPr>
                  <w:tcW w:w="1505" w:type="dxa"/>
                  <w:shd w:val="clear" w:color="auto" w:fill="auto"/>
                  <w:vAlign w:val="center"/>
                </w:tcPr>
                <w:p w14:paraId="7CD029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1"/>
                      <w:szCs w:val="21"/>
                      <w:highlight w:val="none"/>
                      <w:u w:val="none"/>
                    </w:rPr>
                  </w:pPr>
                  <w:r>
                    <w:rPr>
                      <w:rStyle w:val="140"/>
                      <w:rFonts w:hint="eastAsia" w:ascii="宋体" w:hAnsi="宋体" w:eastAsia="宋体" w:cs="宋体"/>
                      <w:sz w:val="21"/>
                      <w:szCs w:val="21"/>
                      <w:highlight w:val="none"/>
                      <w:lang w:val="en-US" w:eastAsia="zh-CN" w:bidi="ar"/>
                    </w:rPr>
                    <w:t>风险防范措施要求</w:t>
                  </w:r>
                </w:p>
              </w:tc>
              <w:tc>
                <w:tcPr>
                  <w:tcW w:w="6359" w:type="dxa"/>
                  <w:gridSpan w:val="5"/>
                  <w:shd w:val="clear" w:color="auto" w:fill="auto"/>
                  <w:vAlign w:val="center"/>
                </w:tcPr>
                <w:p w14:paraId="589A35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41"/>
                      <w:rFonts w:hint="eastAsia" w:ascii="宋体" w:hAnsi="宋体" w:eastAsia="宋体" w:cs="宋体"/>
                      <w:sz w:val="21"/>
                      <w:szCs w:val="21"/>
                      <w:highlight w:val="none"/>
                      <w:lang w:val="en-US" w:eastAsia="zh-CN" w:bidi="ar"/>
                    </w:rPr>
                  </w:pPr>
                  <w:r>
                    <w:rPr>
                      <w:rStyle w:val="141"/>
                      <w:rFonts w:hint="eastAsia" w:ascii="宋体" w:hAnsi="宋体" w:eastAsia="宋体" w:cs="宋体"/>
                      <w:sz w:val="21"/>
                      <w:szCs w:val="21"/>
                      <w:highlight w:val="none"/>
                      <w:lang w:val="en-US" w:eastAsia="zh-CN" w:bidi="ar"/>
                    </w:rPr>
                    <w:t>为避免风险事故，尤其是避免风险事故发生后对环境造成严重的污染，建设单位应树立并强化环境风险意识，增加对环境风险的防范措施，并使这些措施在实际工作中得到落实。主要包括：</w:t>
                  </w:r>
                </w:p>
                <w:p w14:paraId="6B2D42D7">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rPr>
                    <w:t>①</w:t>
                  </w:r>
                  <w:r>
                    <w:rPr>
                      <w:rFonts w:hint="eastAsia" w:ascii="宋体" w:hAnsi="宋体" w:eastAsia="宋体" w:cs="宋体"/>
                      <w:i w:val="0"/>
                      <w:iCs w:val="0"/>
                      <w:color w:val="000000"/>
                      <w:sz w:val="21"/>
                      <w:szCs w:val="21"/>
                      <w:highlight w:val="none"/>
                      <w:u w:val="none"/>
                      <w:lang w:eastAsia="zh-CN"/>
                    </w:rPr>
                    <w:t>危险废物贮存点</w:t>
                  </w:r>
                  <w:r>
                    <w:rPr>
                      <w:rFonts w:hint="eastAsia" w:ascii="宋体" w:hAnsi="宋体" w:eastAsia="宋体" w:cs="宋体"/>
                      <w:i w:val="0"/>
                      <w:iCs w:val="0"/>
                      <w:color w:val="000000"/>
                      <w:sz w:val="21"/>
                      <w:szCs w:val="21"/>
                      <w:highlight w:val="none"/>
                      <w:u w:val="none"/>
                    </w:rPr>
                    <w:t>地面及裙角做耐腐蚀硬化、防渗漏处理，且表面无缝隙，所使用的材料要与危险废物相容；危险废物应储存于密闭容器中，并在容器外表设置环境保护图形标志和警示标志；危险废物应选择防腐、防漏、防磕碰、密封严格的容器进行贮存和运输，储存于阴凉、通风良好的</w:t>
                  </w:r>
                  <w:r>
                    <w:rPr>
                      <w:rFonts w:hint="eastAsia" w:ascii="宋体" w:hAnsi="宋体" w:eastAsia="宋体" w:cs="宋体"/>
                      <w:i w:val="0"/>
                      <w:iCs w:val="0"/>
                      <w:color w:val="000000"/>
                      <w:sz w:val="21"/>
                      <w:szCs w:val="21"/>
                      <w:highlight w:val="none"/>
                      <w:u w:val="none"/>
                      <w:lang w:val="en-US" w:eastAsia="zh-CN"/>
                    </w:rPr>
                    <w:t>危险废物贮存点</w:t>
                  </w:r>
                  <w:r>
                    <w:rPr>
                      <w:rFonts w:hint="eastAsia" w:ascii="宋体" w:hAnsi="宋体" w:eastAsia="宋体" w:cs="宋体"/>
                      <w:i w:val="0"/>
                      <w:iCs w:val="0"/>
                      <w:color w:val="000000"/>
                      <w:sz w:val="21"/>
                      <w:szCs w:val="21"/>
                      <w:highlight w:val="none"/>
                      <w:u w:val="none"/>
                    </w:rPr>
                    <w:t>，远离火种、热源，应有专门人员看管。</w:t>
                  </w:r>
                </w:p>
                <w:p w14:paraId="41D0BA3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lang w:val="en-US" w:eastAsia="zh-CN"/>
                    </w:rPr>
                    <w:t>②柴油储罐区实行专罐专储，严格遵循《危险化学品重大危险源辨识》（GB 18218）要求，合理规划罐区与主干道及建构筑物间距，确保安全防护距离合规。罐区地面采用混凝土硬化并实施防渗处理（渗透系数≤10</w:t>
                  </w:r>
                  <w:r>
                    <w:rPr>
                      <w:rFonts w:hint="eastAsia" w:ascii="宋体" w:hAnsi="宋体" w:eastAsia="宋体" w:cs="宋体"/>
                      <w:i w:val="0"/>
                      <w:iCs w:val="0"/>
                      <w:color w:val="000000"/>
                      <w:sz w:val="21"/>
                      <w:szCs w:val="21"/>
                      <w:highlight w:val="none"/>
                      <w:u w:val="none"/>
                      <w:vertAlign w:val="superscript"/>
                      <w:lang w:val="en-US" w:eastAsia="zh-CN"/>
                    </w:rPr>
                    <w:t>-10</w:t>
                  </w:r>
                  <w:r>
                    <w:rPr>
                      <w:rFonts w:hint="eastAsia" w:ascii="宋体" w:hAnsi="宋体" w:eastAsia="宋体" w:cs="宋体"/>
                      <w:i w:val="0"/>
                      <w:iCs w:val="0"/>
                      <w:color w:val="000000"/>
                      <w:sz w:val="21"/>
                      <w:szCs w:val="21"/>
                      <w:highlight w:val="none"/>
                      <w:u w:val="none"/>
                      <w:lang w:val="en-US" w:eastAsia="zh-CN"/>
                    </w:rPr>
                    <w:t>cm/s），设置防爆电气设备、防火堤及机械通风系统（换气次数≥12次/小时），严禁烟火及易产生静电的作业行为。单个储罐最大容积控制为5t，罐区配套建设≥7.15m</w:t>
                  </w:r>
                  <w:r>
                    <w:rPr>
                      <w:rFonts w:hint="eastAsia" w:ascii="宋体" w:hAnsi="宋体" w:eastAsia="宋体" w:cs="宋体"/>
                      <w:i w:val="0"/>
                      <w:iCs w:val="0"/>
                      <w:color w:val="000000"/>
                      <w:sz w:val="21"/>
                      <w:szCs w:val="21"/>
                      <w:highlight w:val="none"/>
                      <w:u w:val="none"/>
                      <w:vertAlign w:val="superscript"/>
                      <w:lang w:val="en-US" w:eastAsia="zh-CN"/>
                    </w:rPr>
                    <w:t>3</w:t>
                  </w:r>
                  <w:r>
                    <w:rPr>
                      <w:rFonts w:hint="eastAsia" w:ascii="宋体" w:hAnsi="宋体" w:eastAsia="宋体" w:cs="宋体"/>
                      <w:i w:val="0"/>
                      <w:iCs w:val="0"/>
                      <w:color w:val="000000"/>
                      <w:sz w:val="21"/>
                      <w:szCs w:val="21"/>
                      <w:highlight w:val="none"/>
                      <w:u w:val="none"/>
                      <w:lang w:val="en-US" w:eastAsia="zh-CN"/>
                    </w:rPr>
                    <w:t>的应急备用罐，用于事故状态下泄漏物料的转移贮存；同步设置事故应急池（事故池根据燃料最大储存量考虑，本项目最大存储量为6.5m</w:t>
                  </w:r>
                  <w:r>
                    <w:rPr>
                      <w:rFonts w:hint="eastAsia" w:ascii="宋体" w:hAnsi="宋体" w:eastAsia="宋体" w:cs="宋体"/>
                      <w:i w:val="0"/>
                      <w:iCs w:val="0"/>
                      <w:color w:val="000000"/>
                      <w:sz w:val="21"/>
                      <w:szCs w:val="21"/>
                      <w:highlight w:val="none"/>
                      <w:u w:val="none"/>
                      <w:vertAlign w:val="superscript"/>
                      <w:lang w:val="en-US" w:eastAsia="zh-CN"/>
                    </w:rPr>
                    <w:t>3</w:t>
                  </w:r>
                  <w:r>
                    <w:rPr>
                      <w:rFonts w:hint="eastAsia" w:ascii="宋体" w:hAnsi="宋体" w:eastAsia="宋体" w:cs="宋体"/>
                      <w:i w:val="0"/>
                      <w:iCs w:val="0"/>
                      <w:color w:val="000000"/>
                      <w:sz w:val="21"/>
                      <w:szCs w:val="21"/>
                      <w:highlight w:val="none"/>
                      <w:u w:val="none"/>
                      <w:lang w:val="en-US" w:eastAsia="zh-CN"/>
                    </w:rPr>
                    <w:t>，事故池按最大存储量3倍计算，因此本项目事故池容积设为19.5m</w:t>
                  </w:r>
                  <w:r>
                    <w:rPr>
                      <w:rFonts w:hint="eastAsia" w:ascii="宋体" w:hAnsi="宋体" w:eastAsia="宋体" w:cs="宋体"/>
                      <w:i w:val="0"/>
                      <w:iCs w:val="0"/>
                      <w:color w:val="000000"/>
                      <w:sz w:val="21"/>
                      <w:szCs w:val="21"/>
                      <w:highlight w:val="none"/>
                      <w:u w:val="none"/>
                      <w:vertAlign w:val="superscript"/>
                      <w:lang w:val="en-US" w:eastAsia="zh-CN"/>
                    </w:rPr>
                    <w:t>3</w:t>
                  </w:r>
                  <w:r>
                    <w:rPr>
                      <w:rFonts w:hint="eastAsia" w:ascii="宋体" w:hAnsi="宋体" w:eastAsia="宋体" w:cs="宋体"/>
                      <w:i w:val="0"/>
                      <w:iCs w:val="0"/>
                      <w:color w:val="000000"/>
                      <w:sz w:val="21"/>
                      <w:szCs w:val="21"/>
                      <w:highlight w:val="none"/>
                      <w:u w:val="none"/>
                      <w:lang w:val="en-US" w:eastAsia="zh-CN"/>
                    </w:rPr>
                    <w:t>），确保消防废水、泄漏物料不外排。</w:t>
                  </w:r>
                </w:p>
                <w:p w14:paraId="453DAF1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rPr>
                    <w:t>②围堰设置与泄漏拦截</w:t>
                  </w:r>
                </w:p>
                <w:p w14:paraId="5337456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lang w:val="en-US" w:eastAsia="zh-CN"/>
                    </w:rPr>
                    <w:t>储罐周边设置高度≥1.2米的环形围堰（容积≥单个储罐容量110%），并配套导流沟及切换阀门，与应急备用罐、事故应急池形成封闭收集系统。正常状态下，导流阀门保持关闭；泄漏事故发生时，围堰可即时拦截物料，通过人工或自动切换阀门，将泄漏物料导入应急备用罐，防止扩散至外环境。罐区配备移动式消防栓、泡沫灭火器等消防设施，确保初期火灾防控能力。</w:t>
                  </w:r>
                </w:p>
                <w:p w14:paraId="540DCA1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lang w:val="en-US" w:eastAsia="zh-CN"/>
                    </w:rPr>
                    <w:t>③</w:t>
                  </w:r>
                  <w:r>
                    <w:rPr>
                      <w:rFonts w:hint="eastAsia" w:ascii="宋体" w:hAnsi="宋体" w:eastAsia="宋体" w:cs="宋体"/>
                      <w:i w:val="0"/>
                      <w:iCs w:val="0"/>
                      <w:color w:val="000000"/>
                      <w:sz w:val="21"/>
                      <w:szCs w:val="21"/>
                      <w:highlight w:val="none"/>
                      <w:u w:val="none"/>
                    </w:rPr>
                    <w:t>加强对设备的维修管理，建立定期维护的人员编制和相关制度，制定严格的规范操作规程，以保证各装置的正常运转；</w:t>
                  </w:r>
                </w:p>
                <w:p w14:paraId="5FE3CBB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lang w:val="en-US" w:eastAsia="zh-CN"/>
                    </w:rPr>
                    <w:t>④</w:t>
                  </w:r>
                  <w:r>
                    <w:rPr>
                      <w:rFonts w:hint="eastAsia" w:ascii="宋体" w:hAnsi="宋体" w:eastAsia="宋体" w:cs="宋体"/>
                      <w:i w:val="0"/>
                      <w:iCs w:val="0"/>
                      <w:color w:val="000000"/>
                      <w:sz w:val="21"/>
                      <w:szCs w:val="21"/>
                      <w:highlight w:val="none"/>
                      <w:u w:val="none"/>
                    </w:rPr>
                    <w:t>油类物质及危害水环境物质均储存于阴凉、通风的贮存间内，远离火种、热源。房间内粘贴警示标志，周边严禁烟火，防止发生火灾爆炸等危险；</w:t>
                  </w:r>
                </w:p>
                <w:p w14:paraId="3425EBBD">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lang w:val="en-US" w:eastAsia="zh-CN"/>
                    </w:rPr>
                    <w:t>⑤</w:t>
                  </w:r>
                  <w:r>
                    <w:rPr>
                      <w:rFonts w:hint="eastAsia" w:ascii="宋体" w:hAnsi="宋体" w:eastAsia="宋体" w:cs="宋体"/>
                      <w:i w:val="0"/>
                      <w:iCs w:val="0"/>
                      <w:color w:val="000000"/>
                      <w:sz w:val="21"/>
                      <w:szCs w:val="21"/>
                      <w:highlight w:val="none"/>
                      <w:u w:val="none"/>
                    </w:rPr>
                    <w:t>按照《建筑灭火器配置设计规范》（GB50140-2005），库房内配置一定数量不同类型、不同规格的移动式灭火器材，以便及时扑救初始零星火灾。</w:t>
                  </w:r>
                </w:p>
              </w:tc>
            </w:tr>
            <w:tr w14:paraId="3B56A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4" w:type="dxa"/>
                  <w:gridSpan w:val="6"/>
                  <w:shd w:val="clear" w:color="auto" w:fill="auto"/>
                  <w:vAlign w:val="center"/>
                </w:tcPr>
                <w:p w14:paraId="155427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142"/>
                      <w:rFonts w:hint="eastAsia" w:ascii="宋体" w:hAnsi="宋体" w:eastAsia="宋体" w:cs="宋体"/>
                      <w:sz w:val="21"/>
                      <w:szCs w:val="21"/>
                      <w:highlight w:val="none"/>
                      <w:lang w:val="en-US" w:eastAsia="zh-CN" w:bidi="ar"/>
                    </w:rPr>
                  </w:pPr>
                  <w:r>
                    <w:rPr>
                      <w:rStyle w:val="142"/>
                      <w:rFonts w:hint="eastAsia" w:ascii="宋体" w:hAnsi="宋体" w:eastAsia="宋体" w:cs="宋体"/>
                      <w:sz w:val="21"/>
                      <w:szCs w:val="21"/>
                      <w:highlight w:val="none"/>
                      <w:lang w:val="en-US" w:eastAsia="zh-CN" w:bidi="ar"/>
                    </w:rPr>
                    <w:t>填表说明(列出项目相关信息及评价说明):</w:t>
                  </w:r>
                </w:p>
                <w:p w14:paraId="61B225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Style w:val="142"/>
                      <w:rFonts w:hint="eastAsia" w:ascii="宋体" w:hAnsi="宋体" w:eastAsia="宋体" w:cs="宋体"/>
                      <w:sz w:val="21"/>
                      <w:szCs w:val="21"/>
                      <w:highlight w:val="none"/>
                      <w:lang w:val="en-US" w:eastAsia="zh-CN" w:bidi="ar"/>
                    </w:rPr>
                    <w:t>根据《建设项目环境风险评价技术导则》(HJ 169-2018),本项目危险物质总量与其临界量的比值Q=0.002804&lt;1,项目环境风险潜势为Ⅰ,环境风险评价工作等级为简单分析。参照附录A,填写此表。</w:t>
                  </w:r>
                </w:p>
              </w:tc>
            </w:tr>
          </w:tbl>
          <w:p w14:paraId="6CB76FFE">
            <w:pPr>
              <w:pStyle w:val="5"/>
              <w:spacing w:line="360" w:lineRule="auto"/>
              <w:rPr>
                <w:rFonts w:hint="eastAsia" w:ascii="Times New Roman" w:hAnsi="Times New Roman" w:eastAsia="宋体" w:cs="宋体"/>
                <w:caps w:val="0"/>
                <w:spacing w:val="0"/>
                <w:highlight w:val="none"/>
                <w:vertAlign w:val="baseline"/>
                <w:lang w:val="en-US" w:eastAsia="zh-CN"/>
              </w:rPr>
            </w:pPr>
            <w:r>
              <w:rPr>
                <w:rFonts w:hint="eastAsia" w:cs="宋体"/>
                <w:caps w:val="0"/>
                <w:spacing w:val="0"/>
                <w:highlight w:val="none"/>
                <w:vertAlign w:val="baseline"/>
                <w:lang w:val="en-US" w:eastAsia="zh-CN"/>
              </w:rPr>
              <w:t xml:space="preserve"> </w:t>
            </w:r>
          </w:p>
        </w:tc>
      </w:tr>
    </w:tbl>
    <w:p w14:paraId="468B9B17">
      <w:pPr>
        <w:pStyle w:val="5"/>
        <w:rPr>
          <w:rFonts w:hint="eastAsia" w:ascii="Times New Roman" w:hAnsi="Times New Roman" w:eastAsia="宋体" w:cs="宋体"/>
          <w:caps w:val="0"/>
          <w:spacing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08E2D837">
      <w:pPr>
        <w:pStyle w:val="7"/>
        <w:spacing w:line="360" w:lineRule="auto"/>
        <w:jc w:val="center"/>
        <w:rPr>
          <w:rFonts w:hint="eastAsia" w:ascii="Times New Roman" w:hAnsi="Times New Roman" w:eastAsia="宋体" w:cs="宋体"/>
          <w:bCs w:val="0"/>
          <w:caps w:val="0"/>
          <w:spacing w:val="0"/>
          <w:highlight w:val="none"/>
        </w:rPr>
      </w:pPr>
      <w:bookmarkStart w:id="16" w:name="_Toc13284"/>
      <w:r>
        <w:rPr>
          <w:rFonts w:hint="eastAsia" w:ascii="Times New Roman" w:hAnsi="Times New Roman" w:eastAsia="宋体" w:cs="宋体"/>
          <w:bCs w:val="0"/>
          <w:caps w:val="0"/>
          <w:spacing w:val="0"/>
          <w:highlight w:val="none"/>
        </w:rPr>
        <w:t>五、</w:t>
      </w:r>
      <w:bookmarkStart w:id="17" w:name="_Hlk54167917"/>
      <w:r>
        <w:rPr>
          <w:rFonts w:hint="eastAsia" w:ascii="Times New Roman" w:hAnsi="Times New Roman" w:eastAsia="宋体" w:cs="宋体"/>
          <w:bCs w:val="0"/>
          <w:caps w:val="0"/>
          <w:spacing w:val="0"/>
          <w:highlight w:val="none"/>
        </w:rPr>
        <w:t>环境保护措施监督检查清单</w:t>
      </w:r>
      <w:bookmarkEnd w:id="13"/>
      <w:bookmarkEnd w:id="16"/>
      <w:bookmarkEnd w:id="17"/>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324"/>
        <w:gridCol w:w="1258"/>
        <w:gridCol w:w="1720"/>
        <w:gridCol w:w="2981"/>
      </w:tblGrid>
      <w:tr w14:paraId="6714EF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1239" w:type="dxa"/>
            <w:tcBorders>
              <w:tl2br w:val="single" w:color="auto" w:sz="4" w:space="0"/>
            </w:tcBorders>
            <w:noWrap w:val="0"/>
            <w:vAlign w:val="center"/>
          </w:tcPr>
          <w:p w14:paraId="7EB7DCD5">
            <w:pPr>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内容</w:t>
            </w:r>
          </w:p>
          <w:p w14:paraId="1DC96DAE">
            <w:pPr>
              <w:ind w:firstLine="0" w:firstLineChars="0"/>
              <w:jc w:val="left"/>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要素</w:t>
            </w:r>
          </w:p>
        </w:tc>
        <w:tc>
          <w:tcPr>
            <w:tcW w:w="1324" w:type="dxa"/>
            <w:noWrap w:val="0"/>
            <w:vAlign w:val="center"/>
          </w:tcPr>
          <w:p w14:paraId="0475EB8E">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排放口</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编号、名称</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/污染源</w:t>
            </w:r>
          </w:p>
        </w:tc>
        <w:tc>
          <w:tcPr>
            <w:tcW w:w="1258" w:type="dxa"/>
            <w:noWrap w:val="0"/>
            <w:vAlign w:val="center"/>
          </w:tcPr>
          <w:p w14:paraId="67EFDEB8">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污染物项目</w:t>
            </w:r>
          </w:p>
        </w:tc>
        <w:tc>
          <w:tcPr>
            <w:tcW w:w="1720" w:type="dxa"/>
            <w:noWrap w:val="0"/>
            <w:vAlign w:val="center"/>
          </w:tcPr>
          <w:p w14:paraId="45362D64">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环境保护措施</w:t>
            </w:r>
          </w:p>
        </w:tc>
        <w:tc>
          <w:tcPr>
            <w:tcW w:w="2981" w:type="dxa"/>
            <w:noWrap w:val="0"/>
            <w:vAlign w:val="center"/>
          </w:tcPr>
          <w:p w14:paraId="3A9EC1A8">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执行标准</w:t>
            </w:r>
          </w:p>
        </w:tc>
      </w:tr>
      <w:tr w14:paraId="151186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0" w:hRule="exact"/>
          <w:jc w:val="center"/>
        </w:trPr>
        <w:tc>
          <w:tcPr>
            <w:tcW w:w="1239" w:type="dxa"/>
            <w:vMerge w:val="restart"/>
            <w:noWrap w:val="0"/>
            <w:vAlign w:val="center"/>
          </w:tcPr>
          <w:p w14:paraId="18F0BC4E">
            <w:pPr>
              <w:spacing w:line="240" w:lineRule="auto"/>
              <w:ind w:firstLine="0" w:firstLineChars="0"/>
              <w:jc w:val="center"/>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废气</w:t>
            </w:r>
          </w:p>
        </w:tc>
        <w:tc>
          <w:tcPr>
            <w:tcW w:w="1324" w:type="dxa"/>
            <w:noWrap w:val="0"/>
            <w:vAlign w:val="center"/>
          </w:tcPr>
          <w:p w14:paraId="791100A1">
            <w:pPr>
              <w:pStyle w:val="70"/>
              <w:jc w:val="center"/>
              <w:rPr>
                <w:rFonts w:hint="default" w:ascii="Times New Roman" w:hAnsi="Times New Roman" w:eastAsia="宋体" w:cs="宋体"/>
                <w:caps w:val="0"/>
                <w:snapToGrid w:val="0"/>
                <w:spacing w:val="0"/>
                <w:sz w:val="24"/>
                <w:szCs w:val="24"/>
                <w:highlight w:val="none"/>
                <w:lang w:val="en-US" w:eastAsia="zh-CN"/>
              </w:rPr>
            </w:pPr>
            <w:r>
              <w:rPr>
                <w:rFonts w:hint="eastAsia" w:ascii="Times New Roman" w:hAnsi="Times New Roman" w:eastAsia="宋体" w:cs="宋体"/>
                <w:caps w:val="0"/>
                <w:snapToGrid w:val="0"/>
                <w:spacing w:val="0"/>
                <w:sz w:val="24"/>
                <w:szCs w:val="24"/>
                <w:highlight w:val="none"/>
                <w:lang w:val="en-US" w:eastAsia="zh-CN"/>
              </w:rPr>
              <w:t>DA003</w:t>
            </w:r>
            <w:r>
              <w:rPr>
                <w:rFonts w:hint="eastAsia" w:ascii="Times New Roman" w:hAnsi="Times New Roman" w:cs="宋体"/>
                <w:caps w:val="0"/>
                <w:color w:val="000000"/>
                <w:spacing w:val="0"/>
                <w:sz w:val="24"/>
                <w:highlight w:val="none"/>
                <w:lang w:val="en-US" w:eastAsia="zh-CN"/>
              </w:rPr>
              <w:t>导热油炉</w:t>
            </w:r>
            <w:r>
              <w:rPr>
                <w:rFonts w:hint="eastAsia" w:ascii="Times New Roman" w:hAnsi="Times New Roman" w:eastAsia="宋体" w:cs="宋体"/>
                <w:caps w:val="0"/>
                <w:snapToGrid w:val="0"/>
                <w:spacing w:val="0"/>
                <w:sz w:val="24"/>
                <w:szCs w:val="24"/>
                <w:highlight w:val="none"/>
                <w:lang w:val="en-US" w:eastAsia="zh-CN"/>
              </w:rPr>
              <w:t>废气</w:t>
            </w:r>
          </w:p>
        </w:tc>
        <w:tc>
          <w:tcPr>
            <w:tcW w:w="1258" w:type="dxa"/>
            <w:noWrap w:val="0"/>
            <w:vAlign w:val="center"/>
          </w:tcPr>
          <w:p w14:paraId="18EC2E9F">
            <w:pPr>
              <w:pStyle w:val="70"/>
              <w:jc w:val="center"/>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bCs/>
                <w:caps w:val="0"/>
                <w:color w:val="auto"/>
                <w:spacing w:val="0"/>
                <w:sz w:val="24"/>
                <w:szCs w:val="24"/>
                <w:highlight w:val="none"/>
                <w:lang w:val="en-US" w:eastAsia="zh-CN" w:bidi="ar"/>
              </w:rPr>
              <w:t>颗粒物、二氧化硫、氮氧化物、烟气黑度</w:t>
            </w:r>
          </w:p>
        </w:tc>
        <w:tc>
          <w:tcPr>
            <w:tcW w:w="1720" w:type="dxa"/>
            <w:noWrap w:val="0"/>
            <w:vAlign w:val="center"/>
          </w:tcPr>
          <w:p w14:paraId="45C5EA08">
            <w:pPr>
              <w:pStyle w:val="70"/>
              <w:jc w:val="center"/>
              <w:rPr>
                <w:rFonts w:hint="default" w:ascii="Times New Roman" w:hAnsi="Times New Roman" w:eastAsia="宋体" w:cs="宋体"/>
                <w:bCs/>
                <w:caps w:val="0"/>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导热油炉</w:t>
            </w:r>
            <w:r>
              <w:rPr>
                <w:rFonts w:hint="eastAsia" w:ascii="Times New Roman" w:hAnsi="Times New Roman" w:eastAsia="宋体" w:cs="宋体"/>
                <w:bCs/>
                <w:caps w:val="0"/>
                <w:spacing w:val="0"/>
                <w:sz w:val="24"/>
                <w:szCs w:val="24"/>
                <w:highlight w:val="none"/>
                <w:lang w:val="en-US" w:eastAsia="zh-CN"/>
              </w:rPr>
              <w:t>废气低氮燃烧器</w:t>
            </w:r>
            <w:r>
              <w:rPr>
                <w:rFonts w:hint="eastAsia" w:ascii="Times New Roman" w:hAnsi="Times New Roman" w:eastAsia="宋体" w:cs="宋体"/>
                <w:caps w:val="0"/>
                <w:sz w:val="24"/>
                <w:szCs w:val="28"/>
                <w:highlight w:val="none"/>
                <w:lang w:val="en-US" w:eastAsia="zh-CN"/>
              </w:rPr>
              <w:t>+布袋除尘器</w:t>
            </w:r>
            <w:r>
              <w:rPr>
                <w:rFonts w:hint="eastAsia" w:ascii="Times New Roman" w:hAnsi="Times New Roman" w:eastAsia="宋体" w:cs="宋体"/>
                <w:bCs/>
                <w:caps w:val="0"/>
                <w:spacing w:val="0"/>
                <w:sz w:val="24"/>
                <w:szCs w:val="24"/>
                <w:highlight w:val="none"/>
                <w:lang w:val="en-US" w:eastAsia="zh-CN"/>
              </w:rPr>
              <w:t>处理通过20m高排气筒DA003有组织排放</w:t>
            </w:r>
          </w:p>
        </w:tc>
        <w:tc>
          <w:tcPr>
            <w:tcW w:w="2981" w:type="dxa"/>
            <w:noWrap w:val="0"/>
            <w:vAlign w:val="center"/>
          </w:tcPr>
          <w:p w14:paraId="15F1F398">
            <w:pPr>
              <w:spacing w:line="240" w:lineRule="auto"/>
              <w:ind w:firstLine="0" w:firstLineChars="0"/>
              <w:jc w:val="center"/>
              <w:rPr>
                <w:rFonts w:hint="eastAsia" w:ascii="Times New Roman" w:hAnsi="Times New Roman" w:eastAsia="宋体" w:cs="宋体"/>
                <w:bCs w:val="0"/>
                <w:caps w:val="0"/>
                <w:spacing w:val="0"/>
                <w:kern w:val="2"/>
                <w:sz w:val="24"/>
                <w:szCs w:val="24"/>
                <w:highlight w:val="none"/>
                <w:lang w:val="zh-CN" w:eastAsia="zh-CN" w:bidi="ar-SA"/>
              </w:rPr>
            </w:pP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锅炉大气污染物排放标准</w:t>
            </w:r>
            <w:r>
              <w:rPr>
                <w:rFonts w:hint="eastAsia" w:ascii="Times New Roman" w:hAnsi="Times New Roman" w:eastAsia="宋体" w:cs="宋体"/>
                <w:caps w:val="0"/>
                <w:spacing w:val="0"/>
                <w:sz w:val="24"/>
                <w:highlight w:val="none"/>
              </w:rPr>
              <w:t>》（GB</w:t>
            </w:r>
            <w:r>
              <w:rPr>
                <w:rFonts w:hint="eastAsia" w:ascii="Times New Roman" w:hAnsi="Times New Roman" w:eastAsia="宋体" w:cs="宋体"/>
                <w:caps w:val="0"/>
                <w:spacing w:val="0"/>
                <w:sz w:val="24"/>
                <w:highlight w:val="none"/>
                <w:lang w:val="en-US" w:eastAsia="zh-CN"/>
              </w:rPr>
              <w:t>13271</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2014</w:t>
            </w:r>
            <w:r>
              <w:rPr>
                <w:rFonts w:hint="eastAsia" w:ascii="Times New Roman" w:hAnsi="Times New Roman" w:eastAsia="宋体" w:cs="宋体"/>
                <w:caps w:val="0"/>
                <w:spacing w:val="0"/>
                <w:sz w:val="24"/>
                <w:highlight w:val="none"/>
              </w:rPr>
              <w:t>）</w:t>
            </w:r>
            <w:r>
              <w:rPr>
                <w:rFonts w:hint="eastAsia" w:ascii="Times New Roman" w:hAnsi="Times New Roman" w:eastAsia="宋体" w:cs="宋体"/>
                <w:bCs/>
                <w:caps w:val="0"/>
                <w:color w:val="auto"/>
                <w:spacing w:val="0"/>
                <w:sz w:val="24"/>
                <w:szCs w:val="24"/>
                <w:highlight w:val="none"/>
                <w:lang w:val="en-US" w:eastAsia="zh-CN"/>
              </w:rPr>
              <w:t>表2锅炉排放限值</w:t>
            </w:r>
          </w:p>
        </w:tc>
      </w:tr>
      <w:tr w14:paraId="160ED8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0" w:hRule="exact"/>
          <w:jc w:val="center"/>
        </w:trPr>
        <w:tc>
          <w:tcPr>
            <w:tcW w:w="1239" w:type="dxa"/>
            <w:vMerge w:val="continue"/>
            <w:noWrap w:val="0"/>
            <w:vAlign w:val="center"/>
          </w:tcPr>
          <w:p w14:paraId="6B52A2DA">
            <w:pPr>
              <w:spacing w:line="240" w:lineRule="auto"/>
              <w:ind w:firstLine="0" w:firstLineChars="0"/>
              <w:jc w:val="center"/>
              <w:rPr>
                <w:rFonts w:hint="eastAsia" w:ascii="Times New Roman" w:hAnsi="Times New Roman" w:eastAsia="宋体" w:cs="宋体"/>
                <w:caps w:val="0"/>
                <w:spacing w:val="0"/>
                <w:sz w:val="24"/>
                <w:szCs w:val="24"/>
                <w:highlight w:val="none"/>
                <w:lang w:val="en-US" w:eastAsia="zh-CN"/>
              </w:rPr>
            </w:pPr>
          </w:p>
        </w:tc>
        <w:tc>
          <w:tcPr>
            <w:tcW w:w="1324" w:type="dxa"/>
            <w:noWrap w:val="0"/>
            <w:vAlign w:val="center"/>
          </w:tcPr>
          <w:p w14:paraId="12684FA5">
            <w:pPr>
              <w:pStyle w:val="70"/>
              <w:jc w:val="center"/>
              <w:rPr>
                <w:rFonts w:hint="eastAsia" w:ascii="Times New Roman" w:hAnsi="Times New Roman" w:eastAsia="宋体" w:cs="宋体"/>
                <w:caps w:val="0"/>
                <w:snapToGrid w:val="0"/>
                <w:spacing w:val="0"/>
                <w:sz w:val="24"/>
                <w:szCs w:val="24"/>
                <w:highlight w:val="none"/>
                <w:lang w:val="en-US" w:eastAsia="zh-CN"/>
              </w:rPr>
            </w:pPr>
            <w:r>
              <w:rPr>
                <w:rFonts w:hint="eastAsia" w:ascii="Times New Roman" w:hAnsi="Times New Roman" w:eastAsia="宋体" w:cs="宋体"/>
                <w:caps w:val="0"/>
                <w:snapToGrid w:val="0"/>
                <w:spacing w:val="0"/>
                <w:sz w:val="24"/>
                <w:szCs w:val="24"/>
                <w:highlight w:val="none"/>
                <w:lang w:val="en-US" w:eastAsia="zh-CN"/>
              </w:rPr>
              <w:t>DA004</w:t>
            </w:r>
            <w:r>
              <w:rPr>
                <w:rFonts w:hint="eastAsia" w:ascii="Times New Roman" w:hAnsi="Times New Roman" w:cs="宋体"/>
                <w:caps w:val="0"/>
                <w:color w:val="000000"/>
                <w:spacing w:val="0"/>
                <w:sz w:val="24"/>
                <w:highlight w:val="none"/>
                <w:lang w:val="en-US" w:eastAsia="zh-CN"/>
              </w:rPr>
              <w:t>导热油炉</w:t>
            </w:r>
            <w:r>
              <w:rPr>
                <w:rFonts w:hint="eastAsia" w:ascii="Times New Roman" w:hAnsi="Times New Roman" w:eastAsia="宋体" w:cs="宋体"/>
                <w:caps w:val="0"/>
                <w:snapToGrid w:val="0"/>
                <w:spacing w:val="0"/>
                <w:sz w:val="24"/>
                <w:szCs w:val="24"/>
                <w:highlight w:val="none"/>
                <w:lang w:val="en-US" w:eastAsia="zh-CN"/>
              </w:rPr>
              <w:t>废气</w:t>
            </w:r>
          </w:p>
        </w:tc>
        <w:tc>
          <w:tcPr>
            <w:tcW w:w="1258" w:type="dxa"/>
            <w:noWrap w:val="0"/>
            <w:vAlign w:val="center"/>
          </w:tcPr>
          <w:p w14:paraId="624767FD">
            <w:pPr>
              <w:pStyle w:val="70"/>
              <w:jc w:val="center"/>
              <w:rPr>
                <w:rFonts w:hint="eastAsia" w:ascii="Times New Roman" w:hAnsi="Times New Roman" w:eastAsia="宋体" w:cs="宋体"/>
                <w:bCs/>
                <w:caps w:val="0"/>
                <w:color w:val="auto"/>
                <w:spacing w:val="0"/>
                <w:sz w:val="24"/>
                <w:szCs w:val="24"/>
                <w:highlight w:val="none"/>
                <w:lang w:val="en-US" w:eastAsia="zh-CN" w:bidi="ar"/>
              </w:rPr>
            </w:pPr>
            <w:r>
              <w:rPr>
                <w:rFonts w:hint="eastAsia" w:ascii="Times New Roman" w:hAnsi="Times New Roman" w:eastAsia="宋体" w:cs="宋体"/>
                <w:bCs/>
                <w:caps w:val="0"/>
                <w:color w:val="auto"/>
                <w:spacing w:val="0"/>
                <w:sz w:val="24"/>
                <w:szCs w:val="24"/>
                <w:highlight w:val="none"/>
                <w:lang w:val="en-US" w:eastAsia="zh-CN" w:bidi="ar"/>
              </w:rPr>
              <w:t>颗粒物、二氧化硫、氮氧化物、烟气黑度</w:t>
            </w:r>
          </w:p>
        </w:tc>
        <w:tc>
          <w:tcPr>
            <w:tcW w:w="1720" w:type="dxa"/>
            <w:noWrap w:val="0"/>
            <w:vAlign w:val="center"/>
          </w:tcPr>
          <w:p w14:paraId="79A4FA16">
            <w:pPr>
              <w:pStyle w:val="70"/>
              <w:jc w:val="center"/>
              <w:rPr>
                <w:rFonts w:hint="eastAsia" w:ascii="Times New Roman" w:hAnsi="Times New Roman" w:eastAsia="宋体" w:cs="宋体"/>
                <w:bCs/>
                <w:caps w:val="0"/>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导热油炉</w:t>
            </w:r>
            <w:r>
              <w:rPr>
                <w:rFonts w:hint="eastAsia" w:ascii="Times New Roman" w:hAnsi="Times New Roman" w:eastAsia="宋体" w:cs="宋体"/>
                <w:bCs/>
                <w:caps w:val="0"/>
                <w:spacing w:val="0"/>
                <w:sz w:val="24"/>
                <w:szCs w:val="24"/>
                <w:highlight w:val="none"/>
                <w:lang w:val="en-US" w:eastAsia="zh-CN"/>
              </w:rPr>
              <w:t>废气低氮燃烧器+布袋除尘器处理通过20m高排气筒DA004有组织排放</w:t>
            </w:r>
          </w:p>
        </w:tc>
        <w:tc>
          <w:tcPr>
            <w:tcW w:w="2981" w:type="dxa"/>
            <w:noWrap w:val="0"/>
            <w:vAlign w:val="center"/>
          </w:tcPr>
          <w:p w14:paraId="27753186">
            <w:pPr>
              <w:spacing w:line="240" w:lineRule="auto"/>
              <w:ind w:firstLine="0" w:firstLineChars="0"/>
              <w:jc w:val="center"/>
              <w:rPr>
                <w:rFonts w:hint="eastAsia" w:ascii="Times New Roman" w:hAnsi="Times New Roman" w:eastAsia="宋体" w:cs="宋体"/>
                <w:caps w:val="0"/>
                <w:spacing w:val="0"/>
                <w:sz w:val="24"/>
                <w:highlight w:val="none"/>
              </w:rPr>
            </w:pP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锅炉大气污染物排放标准</w:t>
            </w:r>
            <w:r>
              <w:rPr>
                <w:rFonts w:hint="eastAsia" w:ascii="Times New Roman" w:hAnsi="Times New Roman" w:eastAsia="宋体" w:cs="宋体"/>
                <w:caps w:val="0"/>
                <w:spacing w:val="0"/>
                <w:sz w:val="24"/>
                <w:highlight w:val="none"/>
              </w:rPr>
              <w:t>》（GB</w:t>
            </w:r>
            <w:r>
              <w:rPr>
                <w:rFonts w:hint="eastAsia" w:ascii="Times New Roman" w:hAnsi="Times New Roman" w:eastAsia="宋体" w:cs="宋体"/>
                <w:caps w:val="0"/>
                <w:spacing w:val="0"/>
                <w:sz w:val="24"/>
                <w:highlight w:val="none"/>
                <w:lang w:val="en-US" w:eastAsia="zh-CN"/>
              </w:rPr>
              <w:t>13271</w:t>
            </w:r>
            <w:r>
              <w:rPr>
                <w:rFonts w:hint="eastAsia" w:ascii="Times New Roman" w:hAnsi="Times New Roman" w:eastAsia="宋体" w:cs="宋体"/>
                <w:caps w:val="0"/>
                <w:spacing w:val="0"/>
                <w:sz w:val="24"/>
                <w:highlight w:val="none"/>
              </w:rPr>
              <w:t>-</w:t>
            </w:r>
            <w:r>
              <w:rPr>
                <w:rFonts w:hint="eastAsia" w:ascii="Times New Roman" w:hAnsi="Times New Roman" w:eastAsia="宋体" w:cs="宋体"/>
                <w:caps w:val="0"/>
                <w:spacing w:val="0"/>
                <w:sz w:val="24"/>
                <w:highlight w:val="none"/>
                <w:lang w:val="en-US" w:eastAsia="zh-CN"/>
              </w:rPr>
              <w:t>2014</w:t>
            </w:r>
            <w:r>
              <w:rPr>
                <w:rFonts w:hint="eastAsia" w:ascii="Times New Roman" w:hAnsi="Times New Roman" w:eastAsia="宋体" w:cs="宋体"/>
                <w:caps w:val="0"/>
                <w:spacing w:val="0"/>
                <w:sz w:val="24"/>
                <w:highlight w:val="none"/>
              </w:rPr>
              <w:t>）</w:t>
            </w:r>
            <w:r>
              <w:rPr>
                <w:rFonts w:hint="eastAsia" w:ascii="Times New Roman" w:hAnsi="Times New Roman" w:eastAsia="宋体" w:cs="宋体"/>
                <w:bCs/>
                <w:caps w:val="0"/>
                <w:color w:val="auto"/>
                <w:spacing w:val="0"/>
                <w:sz w:val="24"/>
                <w:szCs w:val="24"/>
                <w:highlight w:val="none"/>
                <w:lang w:val="en-US" w:eastAsia="zh-CN"/>
              </w:rPr>
              <w:t>表2锅炉排放限值</w:t>
            </w:r>
          </w:p>
        </w:tc>
      </w:tr>
      <w:tr w14:paraId="194100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0" w:hRule="exact"/>
          <w:jc w:val="center"/>
        </w:trPr>
        <w:tc>
          <w:tcPr>
            <w:tcW w:w="1239" w:type="dxa"/>
            <w:vMerge w:val="continue"/>
            <w:noWrap w:val="0"/>
            <w:vAlign w:val="center"/>
          </w:tcPr>
          <w:p w14:paraId="3D4068AE">
            <w:pPr>
              <w:spacing w:line="240" w:lineRule="auto"/>
              <w:ind w:firstLine="0" w:firstLineChars="0"/>
              <w:jc w:val="center"/>
              <w:rPr>
                <w:rFonts w:hint="eastAsia" w:ascii="Times New Roman" w:hAnsi="Times New Roman" w:eastAsia="宋体" w:cs="宋体"/>
                <w:caps w:val="0"/>
                <w:spacing w:val="0"/>
                <w:sz w:val="24"/>
                <w:szCs w:val="24"/>
                <w:highlight w:val="none"/>
                <w:lang w:val="en-US" w:eastAsia="zh-CN"/>
              </w:rPr>
            </w:pPr>
          </w:p>
        </w:tc>
        <w:tc>
          <w:tcPr>
            <w:tcW w:w="1324" w:type="dxa"/>
            <w:noWrap w:val="0"/>
            <w:vAlign w:val="center"/>
          </w:tcPr>
          <w:p w14:paraId="665E8BAE">
            <w:pPr>
              <w:pStyle w:val="70"/>
              <w:jc w:val="center"/>
              <w:rPr>
                <w:rFonts w:hint="default" w:ascii="Times New Roman" w:hAnsi="Times New Roman" w:eastAsia="宋体" w:cs="宋体"/>
                <w:caps w:val="0"/>
                <w:snapToGrid w:val="0"/>
                <w:spacing w:val="0"/>
                <w:sz w:val="24"/>
                <w:szCs w:val="24"/>
                <w:highlight w:val="none"/>
                <w:lang w:val="en-US" w:eastAsia="zh-CN"/>
              </w:rPr>
            </w:pPr>
            <w:r>
              <w:rPr>
                <w:rFonts w:hint="eastAsia" w:cs="宋体"/>
                <w:caps w:val="0"/>
                <w:snapToGrid w:val="0"/>
                <w:spacing w:val="0"/>
                <w:sz w:val="24"/>
                <w:szCs w:val="24"/>
                <w:highlight w:val="none"/>
                <w:lang w:val="en-US" w:eastAsia="zh-CN"/>
              </w:rPr>
              <w:t>燃料储罐大、小呼吸废气</w:t>
            </w:r>
          </w:p>
        </w:tc>
        <w:tc>
          <w:tcPr>
            <w:tcW w:w="1258" w:type="dxa"/>
            <w:noWrap w:val="0"/>
            <w:vAlign w:val="center"/>
          </w:tcPr>
          <w:p w14:paraId="4C1513D0">
            <w:pPr>
              <w:pStyle w:val="70"/>
              <w:jc w:val="center"/>
              <w:rPr>
                <w:rFonts w:hint="default" w:ascii="Times New Roman" w:hAnsi="Times New Roman" w:eastAsia="宋体" w:cs="宋体"/>
                <w:bCs/>
                <w:caps w:val="0"/>
                <w:color w:val="auto"/>
                <w:spacing w:val="0"/>
                <w:sz w:val="24"/>
                <w:szCs w:val="24"/>
                <w:highlight w:val="none"/>
                <w:lang w:val="en-US" w:eastAsia="zh-CN" w:bidi="ar"/>
              </w:rPr>
            </w:pPr>
            <w:r>
              <w:rPr>
                <w:rFonts w:hint="eastAsia" w:cs="宋体"/>
                <w:bCs/>
                <w:caps w:val="0"/>
                <w:color w:val="auto"/>
                <w:spacing w:val="0"/>
                <w:sz w:val="24"/>
                <w:szCs w:val="24"/>
                <w:highlight w:val="none"/>
                <w:lang w:val="en-US" w:eastAsia="zh-CN" w:bidi="ar"/>
              </w:rPr>
              <w:t>非甲烷总烃</w:t>
            </w:r>
          </w:p>
        </w:tc>
        <w:tc>
          <w:tcPr>
            <w:tcW w:w="1720" w:type="dxa"/>
            <w:noWrap w:val="0"/>
            <w:vAlign w:val="center"/>
          </w:tcPr>
          <w:p w14:paraId="1AC48351">
            <w:pPr>
              <w:pStyle w:val="70"/>
              <w:jc w:val="center"/>
              <w:rPr>
                <w:rFonts w:hint="default" w:ascii="Times New Roman" w:hAnsi="Times New Roman" w:eastAsia="宋体" w:cs="宋体"/>
                <w:bCs/>
                <w:caps w:val="0"/>
                <w:spacing w:val="0"/>
                <w:sz w:val="24"/>
                <w:szCs w:val="24"/>
                <w:highlight w:val="none"/>
                <w:lang w:val="en-US" w:eastAsia="zh-CN"/>
              </w:rPr>
            </w:pPr>
            <w:r>
              <w:rPr>
                <w:rFonts w:hint="eastAsia" w:cs="宋体"/>
                <w:bCs/>
                <w:caps w:val="0"/>
                <w:spacing w:val="0"/>
                <w:sz w:val="24"/>
                <w:szCs w:val="24"/>
                <w:highlight w:val="none"/>
                <w:lang w:val="en-US" w:eastAsia="zh-CN"/>
              </w:rPr>
              <w:t>经储罐呼吸口无组织排放</w:t>
            </w:r>
          </w:p>
        </w:tc>
        <w:tc>
          <w:tcPr>
            <w:tcW w:w="2981" w:type="dxa"/>
            <w:noWrap w:val="0"/>
            <w:vAlign w:val="center"/>
          </w:tcPr>
          <w:p w14:paraId="0E940513">
            <w:pPr>
              <w:spacing w:line="240" w:lineRule="auto"/>
              <w:ind w:firstLine="0" w:firstLineChars="0"/>
              <w:jc w:val="center"/>
              <w:rPr>
                <w:rFonts w:hint="default" w:ascii="Times New Roman" w:hAnsi="Times New Roman" w:eastAsia="宋体" w:cs="宋体"/>
                <w:caps w:val="0"/>
                <w:spacing w:val="0"/>
                <w:sz w:val="24"/>
                <w:highlight w:val="none"/>
                <w:lang w:val="en-US" w:eastAsia="zh-CN"/>
              </w:rPr>
            </w:pPr>
            <w:r>
              <w:rPr>
                <w:rFonts w:hint="eastAsia" w:cs="宋体"/>
                <w:b w:val="0"/>
                <w:bCs/>
                <w:caps w:val="0"/>
                <w:color w:val="auto"/>
                <w:spacing w:val="0"/>
                <w:sz w:val="24"/>
                <w:szCs w:val="24"/>
                <w:highlight w:val="none"/>
                <w:lang w:val="en-US" w:eastAsia="zh-CN"/>
              </w:rPr>
              <w:t>《挥发性有机物无组织排放控制标准》（GB37822-2019）、</w:t>
            </w:r>
            <w:r>
              <w:rPr>
                <w:rFonts w:hint="eastAsia"/>
                <w:b w:val="0"/>
                <w:bCs/>
                <w:color w:val="auto"/>
                <w:sz w:val="24"/>
                <w:highlight w:val="none"/>
              </w:rPr>
              <w:t>《大气污染物综合排放标准》（GB16297-1996）</w:t>
            </w:r>
            <w:r>
              <w:rPr>
                <w:rFonts w:hint="eastAsia"/>
                <w:b w:val="0"/>
                <w:bCs/>
                <w:color w:val="auto"/>
                <w:sz w:val="24"/>
                <w:highlight w:val="none"/>
                <w:lang w:val="en-US" w:eastAsia="zh-CN"/>
              </w:rPr>
              <w:t>表2限值</w:t>
            </w:r>
          </w:p>
        </w:tc>
      </w:tr>
      <w:tr w14:paraId="15AF5C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6" w:hRule="atLeast"/>
          <w:jc w:val="center"/>
        </w:trPr>
        <w:tc>
          <w:tcPr>
            <w:tcW w:w="1239" w:type="dxa"/>
            <w:noWrap w:val="0"/>
            <w:vAlign w:val="center"/>
          </w:tcPr>
          <w:p w14:paraId="476AFD82">
            <w:pPr>
              <w:spacing w:line="240" w:lineRule="auto"/>
              <w:ind w:firstLine="0" w:firstLineChars="0"/>
              <w:jc w:val="center"/>
              <w:rPr>
                <w:rFonts w:hint="eastAsia" w:ascii="Times New Roman" w:hAnsi="Times New Roman" w:eastAsia="宋体" w:cs="宋体"/>
                <w:caps w:val="0"/>
                <w:spacing w:val="0"/>
                <w:sz w:val="24"/>
                <w:szCs w:val="24"/>
                <w:highlight w:val="none"/>
                <w:lang w:eastAsia="zh-CN"/>
              </w:rPr>
            </w:pPr>
            <w:r>
              <w:rPr>
                <w:rFonts w:hint="eastAsia" w:ascii="Times New Roman" w:hAnsi="Times New Roman" w:eastAsia="宋体" w:cs="宋体"/>
                <w:caps w:val="0"/>
                <w:spacing w:val="0"/>
                <w:sz w:val="24"/>
                <w:szCs w:val="24"/>
                <w:highlight w:val="none"/>
                <w:lang w:val="en-US" w:eastAsia="zh-CN"/>
              </w:rPr>
              <w:t>噪声</w:t>
            </w:r>
          </w:p>
        </w:tc>
        <w:tc>
          <w:tcPr>
            <w:tcW w:w="1324" w:type="dxa"/>
            <w:noWrap w:val="0"/>
            <w:vAlign w:val="center"/>
          </w:tcPr>
          <w:p w14:paraId="54EE21B6">
            <w:pPr>
              <w:pStyle w:val="70"/>
              <w:jc w:val="center"/>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cs="宋体"/>
                <w:caps w:val="0"/>
                <w:color w:val="000000"/>
                <w:spacing w:val="0"/>
                <w:sz w:val="24"/>
                <w:highlight w:val="none"/>
                <w:lang w:val="en-US" w:eastAsia="zh-CN"/>
              </w:rPr>
              <w:t>导热油炉</w:t>
            </w:r>
          </w:p>
          <w:p w14:paraId="7AF22AF0">
            <w:pPr>
              <w:pStyle w:val="70"/>
              <w:jc w:val="center"/>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风机</w:t>
            </w:r>
          </w:p>
          <w:p w14:paraId="6AB69842">
            <w:pPr>
              <w:pStyle w:val="70"/>
              <w:jc w:val="center"/>
              <w:rPr>
                <w:rFonts w:hint="default" w:ascii="Times New Roman" w:hAnsi="Times New Roman" w:eastAsia="宋体" w:cs="宋体"/>
                <w:caps w:val="0"/>
                <w:spacing w:val="0"/>
                <w:sz w:val="24"/>
                <w:szCs w:val="24"/>
                <w:highlight w:val="none"/>
                <w:lang w:val="en-US" w:eastAsia="zh-CN"/>
              </w:rPr>
            </w:pPr>
            <w:r>
              <w:rPr>
                <w:rFonts w:hint="eastAsia" w:cs="宋体"/>
                <w:caps w:val="0"/>
                <w:spacing w:val="0"/>
                <w:sz w:val="24"/>
                <w:szCs w:val="24"/>
                <w:highlight w:val="none"/>
                <w:lang w:val="en-US" w:eastAsia="zh-CN"/>
              </w:rPr>
              <w:t>油泵</w:t>
            </w:r>
          </w:p>
        </w:tc>
        <w:tc>
          <w:tcPr>
            <w:tcW w:w="1258" w:type="dxa"/>
            <w:noWrap w:val="0"/>
            <w:vAlign w:val="center"/>
          </w:tcPr>
          <w:p w14:paraId="57008287">
            <w:pPr>
              <w:spacing w:line="240" w:lineRule="auto"/>
              <w:ind w:firstLine="0" w:firstLineChars="0"/>
              <w:jc w:val="center"/>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i/>
                <w:iCs/>
                <w:caps w:val="0"/>
                <w:color w:val="000000"/>
                <w:spacing w:val="0"/>
                <w:kern w:val="0"/>
                <w:highlight w:val="none"/>
              </w:rPr>
              <w:t>L</w:t>
            </w:r>
            <w:r>
              <w:rPr>
                <w:rFonts w:hint="eastAsia" w:ascii="Times New Roman" w:hAnsi="Times New Roman" w:eastAsia="宋体" w:cs="宋体"/>
                <w:caps w:val="0"/>
                <w:color w:val="000000"/>
                <w:spacing w:val="0"/>
                <w:kern w:val="0"/>
                <w:highlight w:val="none"/>
                <w:vertAlign w:val="subscript"/>
              </w:rPr>
              <w:t>eq</w:t>
            </w:r>
            <w:r>
              <w:rPr>
                <w:rFonts w:hint="eastAsia" w:ascii="Times New Roman" w:hAnsi="Times New Roman" w:eastAsia="宋体" w:cs="宋体"/>
                <w:caps w:val="0"/>
                <w:color w:val="000000"/>
                <w:spacing w:val="0"/>
                <w:kern w:val="0"/>
                <w:highlight w:val="none"/>
              </w:rPr>
              <w:t>(A)</w:t>
            </w:r>
          </w:p>
        </w:tc>
        <w:tc>
          <w:tcPr>
            <w:tcW w:w="1720" w:type="dxa"/>
            <w:noWrap w:val="0"/>
            <w:vAlign w:val="center"/>
          </w:tcPr>
          <w:p w14:paraId="4ED8ADBA">
            <w:pPr>
              <w:spacing w:line="240" w:lineRule="auto"/>
              <w:ind w:firstLine="0" w:firstLineChars="0"/>
              <w:jc w:val="center"/>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rPr>
              <w:t>基础减振、厂房隔声</w:t>
            </w:r>
          </w:p>
        </w:tc>
        <w:tc>
          <w:tcPr>
            <w:tcW w:w="2981" w:type="dxa"/>
            <w:noWrap w:val="0"/>
            <w:vAlign w:val="center"/>
          </w:tcPr>
          <w:p w14:paraId="3B7ABCEB">
            <w:pPr>
              <w:pStyle w:val="70"/>
              <w:jc w:val="center"/>
              <w:rPr>
                <w:rFonts w:hint="default" w:ascii="Times New Roman" w:hAnsi="Times New Roman" w:eastAsia="宋体" w:cs="宋体"/>
                <w:caps w:val="0"/>
                <w:spacing w:val="0"/>
                <w:sz w:val="24"/>
                <w:szCs w:val="24"/>
                <w:highlight w:val="none"/>
                <w:lang w:val="en-US"/>
              </w:rPr>
            </w:pPr>
            <w:r>
              <w:rPr>
                <w:rFonts w:hint="eastAsia" w:ascii="Times New Roman" w:hAnsi="Times New Roman" w:eastAsia="宋体" w:cs="宋体"/>
                <w:caps w:val="0"/>
                <w:spacing w:val="0"/>
                <w:sz w:val="24"/>
                <w:szCs w:val="24"/>
                <w:highlight w:val="none"/>
                <w:lang w:val="en-US" w:eastAsia="zh-CN"/>
              </w:rPr>
              <w:t>厂界四侧执行</w:t>
            </w:r>
            <w:r>
              <w:rPr>
                <w:rFonts w:hint="eastAsia" w:ascii="Times New Roman" w:hAnsi="Times New Roman" w:eastAsia="宋体" w:cs="宋体"/>
                <w:caps w:val="0"/>
                <w:spacing w:val="0"/>
                <w:sz w:val="24"/>
                <w:szCs w:val="24"/>
                <w:highlight w:val="none"/>
              </w:rPr>
              <w:t>《工业企业厂界环境噪声排放标准》（GB12348-2008）</w:t>
            </w:r>
            <w:r>
              <w:rPr>
                <w:rFonts w:hint="eastAsia" w:ascii="Times New Roman" w:hAnsi="Times New Roman" w:eastAsia="宋体" w:cs="宋体"/>
                <w:caps w:val="0"/>
                <w:spacing w:val="0"/>
                <w:sz w:val="24"/>
                <w:szCs w:val="24"/>
                <w:highlight w:val="none"/>
                <w:lang w:val="en-US" w:eastAsia="zh-CN"/>
              </w:rPr>
              <w:t>2</w:t>
            </w:r>
            <w:r>
              <w:rPr>
                <w:rFonts w:hint="eastAsia" w:ascii="Times New Roman" w:hAnsi="Times New Roman" w:eastAsia="宋体" w:cs="宋体"/>
                <w:caps w:val="0"/>
                <w:spacing w:val="0"/>
                <w:sz w:val="24"/>
                <w:szCs w:val="24"/>
                <w:highlight w:val="none"/>
              </w:rPr>
              <w:t>类排放标准</w:t>
            </w:r>
          </w:p>
        </w:tc>
      </w:tr>
      <w:tr w14:paraId="7FA013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34" w:hRule="atLeast"/>
          <w:jc w:val="center"/>
        </w:trPr>
        <w:tc>
          <w:tcPr>
            <w:tcW w:w="1239" w:type="dxa"/>
            <w:noWrap w:val="0"/>
            <w:vAlign w:val="center"/>
          </w:tcPr>
          <w:p w14:paraId="3F89CD7B">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固体废物</w:t>
            </w:r>
          </w:p>
        </w:tc>
        <w:tc>
          <w:tcPr>
            <w:tcW w:w="7283" w:type="dxa"/>
            <w:gridSpan w:val="4"/>
            <w:noWrap w:val="0"/>
            <w:vAlign w:val="center"/>
          </w:tcPr>
          <w:p w14:paraId="48005E24">
            <w:pPr>
              <w:spacing w:line="360" w:lineRule="auto"/>
              <w:ind w:firstLine="480" w:firstLineChars="200"/>
              <w:jc w:val="both"/>
              <w:rPr>
                <w:rFonts w:hint="eastAsia" w:ascii="Times New Roman" w:hAnsi="Times New Roman" w:eastAsia="宋体" w:cs="宋体"/>
                <w:caps w:val="0"/>
                <w:color w:val="auto"/>
                <w:spacing w:val="0"/>
                <w:sz w:val="24"/>
                <w:szCs w:val="24"/>
                <w:highlight w:val="none"/>
              </w:rPr>
            </w:pPr>
            <w:r>
              <w:rPr>
                <w:rFonts w:hint="eastAsia" w:ascii="Times New Roman" w:hAnsi="Times New Roman" w:eastAsia="宋体" w:cs="宋体"/>
                <w:caps w:val="0"/>
                <w:spacing w:val="0"/>
                <w:sz w:val="24"/>
                <w:szCs w:val="24"/>
                <w:highlight w:val="none"/>
                <w:lang w:val="en-US" w:eastAsia="zh-CN"/>
              </w:rPr>
              <w:t>本项目产生的固废为布袋除尘器集尘、废布袋</w:t>
            </w:r>
            <w:r>
              <w:rPr>
                <w:rFonts w:hint="eastAsia" w:ascii="Times New Roman" w:hAnsi="Times New Roman" w:cs="宋体"/>
                <w:caps w:val="0"/>
                <w:spacing w:val="0"/>
                <w:sz w:val="24"/>
                <w:szCs w:val="24"/>
                <w:highlight w:val="none"/>
                <w:lang w:val="en-US" w:eastAsia="zh-CN"/>
              </w:rPr>
              <w:t>、废燃烧器</w:t>
            </w:r>
            <w:r>
              <w:rPr>
                <w:rFonts w:hint="eastAsia" w:ascii="Times New Roman" w:hAnsi="Times New Roman" w:eastAsia="宋体" w:cs="宋体"/>
                <w:caps w:val="0"/>
                <w:spacing w:val="0"/>
                <w:sz w:val="24"/>
                <w:szCs w:val="24"/>
                <w:highlight w:val="none"/>
                <w:lang w:val="en-US" w:eastAsia="zh-CN"/>
              </w:rPr>
              <w:t>、废导热油、废机油、含油棉纱、废油桶，产生的废布袋交由厂家回收再生处理</w:t>
            </w:r>
            <w:r>
              <w:rPr>
                <w:rFonts w:hint="eastAsia" w:ascii="Times New Roman" w:hAnsi="Times New Roman" w:cs="宋体"/>
                <w:caps w:val="0"/>
                <w:spacing w:val="0"/>
                <w:sz w:val="24"/>
                <w:szCs w:val="24"/>
                <w:highlight w:val="none"/>
                <w:lang w:val="en-US" w:eastAsia="zh-CN"/>
              </w:rPr>
              <w:t>；废燃烧器交厂家回收处理</w:t>
            </w:r>
            <w:r>
              <w:rPr>
                <w:rFonts w:hint="eastAsia" w:ascii="Times New Roman" w:hAnsi="Times New Roman" w:eastAsia="宋体" w:cs="宋体"/>
                <w:caps w:val="0"/>
                <w:spacing w:val="0"/>
                <w:sz w:val="24"/>
                <w:szCs w:val="24"/>
                <w:highlight w:val="none"/>
                <w:lang w:val="en-US" w:eastAsia="zh-CN"/>
              </w:rPr>
              <w:t>。布袋除尘器集尘外售综合利用。废导热油、废机油、废机油桶、含油棉纱交有资质单位处置。</w:t>
            </w:r>
            <w:r>
              <w:rPr>
                <w:rFonts w:hint="eastAsia" w:ascii="Times New Roman" w:hAnsi="Times New Roman" w:eastAsia="宋体" w:cs="宋体"/>
                <w:bCs/>
                <w:caps w:val="0"/>
                <w:spacing w:val="0"/>
                <w:sz w:val="24"/>
                <w:szCs w:val="24"/>
                <w:highlight w:val="none"/>
              </w:rPr>
              <w:t>一般工业固体废物执行《一般工业固体废物贮存和填埋污染控制标准》（GB18599-2020）</w:t>
            </w:r>
            <w:r>
              <w:rPr>
                <w:rFonts w:hint="eastAsia" w:ascii="Times New Roman" w:hAnsi="Times New Roman" w:eastAsia="宋体" w:cs="宋体"/>
                <w:bCs/>
                <w:caps w:val="0"/>
                <w:spacing w:val="0"/>
                <w:sz w:val="24"/>
                <w:szCs w:val="24"/>
                <w:highlight w:val="none"/>
                <w:lang w:eastAsia="zh-CN"/>
              </w:rPr>
              <w:t>、</w:t>
            </w:r>
            <w:r>
              <w:rPr>
                <w:rFonts w:hint="eastAsia" w:ascii="Times New Roman" w:hAnsi="Times New Roman" w:eastAsia="宋体" w:cs="宋体"/>
                <w:caps w:val="0"/>
                <w:color w:val="000000"/>
                <w:spacing w:val="0"/>
                <w:szCs w:val="21"/>
                <w:highlight w:val="none"/>
              </w:rPr>
              <w:t>《一般固体废物分类与代码》（GB/T39198-2020）</w:t>
            </w:r>
            <w:r>
              <w:rPr>
                <w:rFonts w:hint="eastAsia" w:ascii="Times New Roman" w:hAnsi="Times New Roman" w:eastAsia="宋体" w:cs="宋体"/>
                <w:caps w:val="0"/>
                <w:color w:val="000000"/>
                <w:spacing w:val="0"/>
                <w:szCs w:val="21"/>
                <w:highlight w:val="none"/>
                <w:lang w:eastAsia="zh-CN"/>
              </w:rPr>
              <w:t>关于发布《固体废物分类与代码目录》的公告（公告2024年第4号）。</w:t>
            </w:r>
            <w:r>
              <w:rPr>
                <w:rFonts w:hint="eastAsia" w:ascii="Times New Roman" w:hAnsi="Times New Roman" w:eastAsia="宋体" w:cs="宋体"/>
                <w:bCs/>
                <w:caps w:val="0"/>
                <w:spacing w:val="0"/>
                <w:kern w:val="2"/>
                <w:sz w:val="24"/>
                <w:szCs w:val="24"/>
                <w:highlight w:val="none"/>
                <w:lang w:val="en-US" w:eastAsia="zh-CN" w:bidi="ar-SA"/>
              </w:rPr>
              <w:t>危险固体废物执行《危险废物贮存污染控制标准》（GB18597-2023）。</w:t>
            </w:r>
          </w:p>
        </w:tc>
      </w:tr>
      <w:tr w14:paraId="7894E5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10" w:hRule="atLeast"/>
          <w:jc w:val="center"/>
        </w:trPr>
        <w:tc>
          <w:tcPr>
            <w:tcW w:w="1239" w:type="dxa"/>
            <w:noWrap w:val="0"/>
            <w:vAlign w:val="center"/>
          </w:tcPr>
          <w:p w14:paraId="6EBD3908">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土壤及地下水污染防治措施</w:t>
            </w:r>
          </w:p>
        </w:tc>
        <w:tc>
          <w:tcPr>
            <w:tcW w:w="7283" w:type="dxa"/>
            <w:gridSpan w:val="4"/>
            <w:noWrap w:val="0"/>
            <w:vAlign w:val="center"/>
          </w:tcPr>
          <w:p w14:paraId="0C1CB4C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lang w:val="en-US" w:eastAsia="zh-CN"/>
              </w:rPr>
              <w:t>本项目危险废物贮存于危险废物贮存点，燃料储罐位于生产车间内，采用地上储罐，已做好地面硬化，燃料储罐与</w:t>
            </w:r>
            <w:r>
              <w:rPr>
                <w:rFonts w:hint="eastAsia" w:ascii="Times New Roman" w:hAnsi="Times New Roman" w:eastAsia="宋体" w:cs="宋体"/>
                <w:caps w:val="0"/>
                <w:spacing w:val="0"/>
                <w:sz w:val="24"/>
                <w:szCs w:val="24"/>
                <w:highlight w:val="none"/>
                <w:lang w:eastAsia="zh-CN"/>
              </w:rPr>
              <w:t>危险废物贮存点</w:t>
            </w:r>
            <w:r>
              <w:rPr>
                <w:rFonts w:hint="eastAsia" w:ascii="Times New Roman" w:hAnsi="Times New Roman" w:eastAsia="宋体" w:cs="宋体"/>
                <w:caps w:val="0"/>
                <w:spacing w:val="0"/>
                <w:sz w:val="24"/>
                <w:szCs w:val="24"/>
                <w:highlight w:val="none"/>
              </w:rPr>
              <w:t>采取地面</w:t>
            </w:r>
            <w:r>
              <w:rPr>
                <w:rFonts w:hint="eastAsia" w:ascii="Times New Roman" w:hAnsi="Times New Roman" w:eastAsia="宋体" w:cs="宋体"/>
                <w:caps w:val="0"/>
                <w:spacing w:val="0"/>
                <w:sz w:val="24"/>
                <w:szCs w:val="24"/>
                <w:highlight w:val="none"/>
                <w:lang w:eastAsia="zh-CN"/>
              </w:rPr>
              <w:t>和裙脚</w:t>
            </w:r>
            <w:r>
              <w:rPr>
                <w:rFonts w:hint="eastAsia" w:ascii="Times New Roman" w:hAnsi="Times New Roman" w:eastAsia="宋体" w:cs="宋体"/>
                <w:caps w:val="0"/>
                <w:spacing w:val="0"/>
                <w:sz w:val="24"/>
                <w:szCs w:val="24"/>
                <w:highlight w:val="none"/>
              </w:rPr>
              <w:t>采用高</w:t>
            </w:r>
            <w:r>
              <w:rPr>
                <w:rFonts w:hint="eastAsia" w:ascii="Times New Roman" w:hAnsi="Times New Roman" w:eastAsia="宋体" w:cs="宋体"/>
                <w:caps w:val="0"/>
                <w:spacing w:val="0"/>
                <w:sz w:val="24"/>
                <w:szCs w:val="24"/>
                <w:highlight w:val="none"/>
                <w:lang w:eastAsia="zh-CN"/>
              </w:rPr>
              <w:t>密度</w:t>
            </w:r>
            <w:r>
              <w:rPr>
                <w:rFonts w:hint="eastAsia" w:ascii="Times New Roman" w:hAnsi="Times New Roman" w:eastAsia="宋体" w:cs="宋体"/>
                <w:caps w:val="0"/>
                <w:spacing w:val="0"/>
                <w:sz w:val="24"/>
                <w:szCs w:val="24"/>
                <w:highlight w:val="none"/>
              </w:rPr>
              <w:t>聚乙烯膜（HDPE）进行基础防渗措施，防渗技术要求达到等效粘土防渗层Mb≥2</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0mm，K≤1×10</w:t>
            </w:r>
            <w:r>
              <w:rPr>
                <w:rFonts w:hint="eastAsia" w:ascii="Times New Roman" w:hAnsi="Times New Roman" w:eastAsia="宋体" w:cs="宋体"/>
                <w:caps w:val="0"/>
                <w:spacing w:val="0"/>
                <w:sz w:val="24"/>
                <w:szCs w:val="24"/>
                <w:highlight w:val="none"/>
                <w:vertAlign w:val="superscript"/>
              </w:rPr>
              <w:t>-10</w:t>
            </w:r>
            <w:r>
              <w:rPr>
                <w:rFonts w:hint="eastAsia" w:ascii="Times New Roman" w:hAnsi="Times New Roman" w:eastAsia="宋体" w:cs="宋体"/>
                <w:caps w:val="0"/>
                <w:spacing w:val="0"/>
                <w:sz w:val="24"/>
                <w:szCs w:val="24"/>
                <w:highlight w:val="none"/>
              </w:rPr>
              <w:t>cm/s，满足《危险废物贮存污染控制标准》</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GB18597-20</w:t>
            </w:r>
            <w:r>
              <w:rPr>
                <w:rFonts w:hint="eastAsia" w:ascii="Times New Roman" w:hAnsi="Times New Roman" w:eastAsia="宋体" w:cs="宋体"/>
                <w:caps w:val="0"/>
                <w:spacing w:val="0"/>
                <w:sz w:val="24"/>
                <w:szCs w:val="24"/>
                <w:highlight w:val="none"/>
                <w:lang w:val="en-US" w:eastAsia="zh-CN"/>
              </w:rPr>
              <w:t>23）</w:t>
            </w:r>
            <w:r>
              <w:rPr>
                <w:rFonts w:hint="eastAsia" w:ascii="Times New Roman" w:hAnsi="Times New Roman" w:eastAsia="宋体" w:cs="宋体"/>
                <w:caps w:val="0"/>
                <w:spacing w:val="0"/>
                <w:sz w:val="24"/>
                <w:szCs w:val="24"/>
                <w:highlight w:val="none"/>
              </w:rPr>
              <w:t>要求。</w:t>
            </w:r>
          </w:p>
          <w:p w14:paraId="6407FBF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highlight w:val="none"/>
              </w:rPr>
            </w:pPr>
            <w:r>
              <w:rPr>
                <w:rFonts w:hint="eastAsia" w:ascii="Times New Roman" w:hAnsi="Times New Roman" w:eastAsia="宋体" w:cs="宋体"/>
                <w:caps w:val="0"/>
                <w:spacing w:val="0"/>
                <w:sz w:val="24"/>
                <w:szCs w:val="24"/>
                <w:highlight w:val="none"/>
                <w:lang w:val="en-US" w:eastAsia="zh-CN"/>
              </w:rPr>
              <w:t>锅炉房、</w:t>
            </w:r>
            <w:r>
              <w:rPr>
                <w:rFonts w:hint="eastAsia" w:ascii="Times New Roman" w:hAnsi="Times New Roman" w:cs="宋体"/>
                <w:caps w:val="0"/>
                <w:spacing w:val="0"/>
                <w:sz w:val="24"/>
                <w:szCs w:val="24"/>
                <w:highlight w:val="none"/>
                <w:lang w:val="en-US" w:eastAsia="zh-CN"/>
              </w:rPr>
              <w:t>燃料储罐</w:t>
            </w:r>
            <w:r>
              <w:rPr>
                <w:rFonts w:hint="eastAsia" w:ascii="Times New Roman" w:hAnsi="Times New Roman" w:eastAsia="宋体" w:cs="宋体"/>
                <w:caps w:val="0"/>
                <w:spacing w:val="0"/>
                <w:sz w:val="24"/>
                <w:szCs w:val="24"/>
                <w:highlight w:val="none"/>
                <w:lang w:val="en-US" w:eastAsia="zh-CN"/>
              </w:rPr>
              <w:t>和</w:t>
            </w:r>
            <w:r>
              <w:rPr>
                <w:rFonts w:hint="eastAsia" w:ascii="Times New Roman" w:hAnsi="Times New Roman" w:cs="宋体"/>
                <w:caps w:val="0"/>
                <w:spacing w:val="0"/>
                <w:sz w:val="24"/>
                <w:szCs w:val="24"/>
                <w:highlight w:val="none"/>
                <w:lang w:val="en-US" w:eastAsia="zh-CN"/>
              </w:rPr>
              <w:t>燃料储罐</w:t>
            </w:r>
            <w:r>
              <w:rPr>
                <w:rFonts w:hint="eastAsia" w:ascii="Times New Roman" w:hAnsi="Times New Roman" w:eastAsia="宋体" w:cs="宋体"/>
                <w:caps w:val="0"/>
                <w:spacing w:val="0"/>
                <w:sz w:val="24"/>
                <w:szCs w:val="24"/>
                <w:highlight w:val="none"/>
                <w:lang w:val="en-US" w:eastAsia="zh-CN"/>
              </w:rPr>
              <w:t>北侧的事故池（15m3）</w:t>
            </w:r>
            <w:r>
              <w:rPr>
                <w:rFonts w:hint="eastAsia" w:ascii="Times New Roman" w:hAnsi="Times New Roman" w:eastAsia="宋体" w:cs="宋体"/>
                <w:caps w:val="0"/>
                <w:spacing w:val="0"/>
                <w:sz w:val="24"/>
                <w:szCs w:val="24"/>
                <w:highlight w:val="none"/>
              </w:rPr>
              <w:t>防渗按等效粘土层厚度要≥6</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0m，满足渗透系数K≤1</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0×10-7cm/s设计；防渗粘土层（至少1m厚）上部及侧面铺设1</w:t>
            </w:r>
            <w:r>
              <w:rPr>
                <w:rFonts w:hint="eastAsia" w:ascii="Times New Roman" w:hAnsi="Times New Roman" w:eastAsia="宋体" w:cs="宋体"/>
                <w:caps w:val="0"/>
                <w:spacing w:val="0"/>
                <w:sz w:val="24"/>
                <w:szCs w:val="24"/>
                <w:highlight w:val="none"/>
                <w:lang w:eastAsia="zh-CN"/>
              </w:rPr>
              <w:t>.</w:t>
            </w:r>
            <w:r>
              <w:rPr>
                <w:rFonts w:hint="eastAsia" w:ascii="Times New Roman" w:hAnsi="Times New Roman" w:eastAsia="宋体" w:cs="宋体"/>
                <w:caps w:val="0"/>
                <w:spacing w:val="0"/>
                <w:sz w:val="24"/>
                <w:szCs w:val="24"/>
                <w:highlight w:val="none"/>
              </w:rPr>
              <w:t>0mm高密度聚乙烯（HDPE）防渗膜（渗透系数K≤10-12cm/s），防渗基础上进行水泥硬化，并喷涂防腐防酸漆。</w:t>
            </w:r>
          </w:p>
        </w:tc>
      </w:tr>
      <w:tr w14:paraId="0B26D6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42" w:hRule="atLeast"/>
          <w:jc w:val="center"/>
        </w:trPr>
        <w:tc>
          <w:tcPr>
            <w:tcW w:w="1239" w:type="dxa"/>
            <w:noWrap w:val="0"/>
            <w:vAlign w:val="center"/>
          </w:tcPr>
          <w:p w14:paraId="7A512DDD">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环境风险</w:t>
            </w:r>
          </w:p>
          <w:p w14:paraId="42C5582F">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防范措施</w:t>
            </w:r>
          </w:p>
        </w:tc>
        <w:tc>
          <w:tcPr>
            <w:tcW w:w="7283" w:type="dxa"/>
            <w:gridSpan w:val="4"/>
            <w:noWrap w:val="0"/>
            <w:vAlign w:val="center"/>
          </w:tcPr>
          <w:p w14:paraId="6B167900">
            <w:pPr>
              <w:widowControl/>
              <w:spacing w:line="360" w:lineRule="auto"/>
              <w:ind w:firstLine="360" w:firstLineChars="150"/>
              <w:jc w:val="left"/>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lang w:val="en-US" w:eastAsia="zh-CN"/>
              </w:rPr>
              <w:t>1.</w:t>
            </w:r>
            <w:r>
              <w:rPr>
                <w:rFonts w:hint="eastAsia" w:ascii="Times New Roman" w:hAnsi="Times New Roman" w:eastAsia="宋体" w:cs="宋体"/>
                <w:caps w:val="0"/>
                <w:spacing w:val="0"/>
                <w:sz w:val="24"/>
                <w:szCs w:val="24"/>
                <w:highlight w:val="none"/>
                <w:lang w:eastAsia="zh-CN"/>
              </w:rPr>
              <w:t>危险废物贮存点</w:t>
            </w:r>
            <w:r>
              <w:rPr>
                <w:rFonts w:hint="eastAsia" w:ascii="Times New Roman" w:hAnsi="Times New Roman" w:eastAsia="宋体" w:cs="宋体"/>
                <w:caps w:val="0"/>
                <w:spacing w:val="0"/>
                <w:sz w:val="24"/>
                <w:szCs w:val="24"/>
                <w:highlight w:val="none"/>
              </w:rPr>
              <w:t>地面及裙角做耐腐蚀硬化、防渗漏处理，且表面无缝隙，所使用的材料要与危险废物相容；危险废物应储存于密闭容器中，并在容器外表设置环境保护图形标志和警示标志；危险废物应选择防腐、防漏、防磕碰、密封严格的容器进行贮存和运输，储存于阴凉、通风良好的</w:t>
            </w:r>
            <w:r>
              <w:rPr>
                <w:rFonts w:hint="eastAsia" w:ascii="Times New Roman" w:hAnsi="Times New Roman" w:eastAsia="宋体" w:cs="宋体"/>
                <w:caps w:val="0"/>
                <w:spacing w:val="0"/>
                <w:sz w:val="24"/>
                <w:szCs w:val="24"/>
                <w:highlight w:val="none"/>
                <w:lang w:val="en-US" w:eastAsia="zh-CN"/>
              </w:rPr>
              <w:t>危险废物贮存点</w:t>
            </w:r>
            <w:r>
              <w:rPr>
                <w:rFonts w:hint="eastAsia" w:ascii="Times New Roman" w:hAnsi="Times New Roman" w:eastAsia="宋体" w:cs="宋体"/>
                <w:caps w:val="0"/>
                <w:spacing w:val="0"/>
                <w:sz w:val="24"/>
                <w:szCs w:val="24"/>
                <w:highlight w:val="none"/>
              </w:rPr>
              <w:t>，远离火种、热源，应有专门人员看管。</w:t>
            </w:r>
          </w:p>
          <w:p w14:paraId="2636B640">
            <w:pPr>
              <w:widowControl/>
              <w:spacing w:line="360" w:lineRule="auto"/>
              <w:ind w:firstLine="360" w:firstLineChars="150"/>
              <w:jc w:val="left"/>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lang w:val="en-US" w:eastAsia="zh-CN"/>
              </w:rPr>
              <w:t>2.</w:t>
            </w:r>
            <w:r>
              <w:rPr>
                <w:rFonts w:hint="eastAsia" w:ascii="Times New Roman" w:hAnsi="Times New Roman" w:eastAsia="宋体" w:cs="宋体"/>
                <w:caps w:val="0"/>
                <w:spacing w:val="0"/>
                <w:sz w:val="24"/>
                <w:szCs w:val="24"/>
                <w:highlight w:val="none"/>
              </w:rPr>
              <w:t>加强对设备的维修管理，建立定期维护的人员编制和相关制度，制定严格的规范操作规程，以保证各装置的正常运转；</w:t>
            </w:r>
          </w:p>
          <w:p w14:paraId="711A25B2">
            <w:pPr>
              <w:widowControl/>
              <w:spacing w:line="360" w:lineRule="auto"/>
              <w:ind w:firstLine="360" w:firstLineChars="150"/>
              <w:jc w:val="left"/>
              <w:rPr>
                <w:rFonts w:hint="eastAsia" w:ascii="Times New Roman" w:hAnsi="Times New Roman" w:eastAsia="宋体" w:cs="宋体"/>
                <w:caps w:val="0"/>
                <w:spacing w:val="0"/>
                <w:sz w:val="24"/>
                <w:szCs w:val="24"/>
                <w:highlight w:val="none"/>
              </w:rPr>
            </w:pPr>
            <w:r>
              <w:rPr>
                <w:rFonts w:hint="eastAsia" w:ascii="Times New Roman" w:hAnsi="Times New Roman" w:cs="宋体"/>
                <w:caps w:val="0"/>
                <w:spacing w:val="0"/>
                <w:sz w:val="24"/>
                <w:szCs w:val="24"/>
                <w:highlight w:val="none"/>
                <w:lang w:val="en-US" w:eastAsia="zh-CN"/>
              </w:rPr>
              <w:t>3</w:t>
            </w:r>
            <w:r>
              <w:rPr>
                <w:rFonts w:hint="eastAsia" w:ascii="Times New Roman" w:hAnsi="Times New Roman" w:eastAsia="宋体" w:cs="宋体"/>
                <w:caps w:val="0"/>
                <w:spacing w:val="0"/>
                <w:sz w:val="24"/>
                <w:szCs w:val="24"/>
                <w:highlight w:val="none"/>
                <w:lang w:val="en-US" w:eastAsia="zh-CN"/>
              </w:rPr>
              <w:t>.</w:t>
            </w:r>
            <w:r>
              <w:rPr>
                <w:rFonts w:hint="eastAsia" w:ascii="Times New Roman" w:hAnsi="Times New Roman" w:eastAsia="宋体" w:cs="宋体"/>
                <w:caps w:val="0"/>
                <w:spacing w:val="0"/>
                <w:sz w:val="24"/>
                <w:szCs w:val="24"/>
                <w:highlight w:val="none"/>
              </w:rPr>
              <w:t>按照《建筑灭火器配置设计规范》（GB50140-2005），库房内配置一定数量不同类型、不同规格的移动式灭火器材，以便及时扑救初始零星火灾。</w:t>
            </w:r>
          </w:p>
          <w:p w14:paraId="60BAE13E">
            <w:pPr>
              <w:widowControl/>
              <w:spacing w:line="360" w:lineRule="auto"/>
              <w:ind w:firstLine="360" w:firstLineChars="150"/>
              <w:jc w:val="left"/>
              <w:rPr>
                <w:rFonts w:hint="eastAsia" w:ascii="Times New Roman" w:hAnsi="Times New Roman" w:eastAsia="宋体" w:cs="宋体"/>
                <w:caps w:val="0"/>
                <w:spacing w:val="0"/>
                <w:sz w:val="24"/>
                <w:szCs w:val="24"/>
                <w:highlight w:val="none"/>
              </w:rPr>
            </w:pPr>
            <w:r>
              <w:rPr>
                <w:rFonts w:hint="eastAsia" w:ascii="Times New Roman" w:hAnsi="Times New Roman" w:cs="宋体"/>
                <w:caps w:val="0"/>
                <w:spacing w:val="0"/>
                <w:sz w:val="24"/>
                <w:szCs w:val="24"/>
                <w:highlight w:val="none"/>
                <w:lang w:val="en-US" w:eastAsia="zh-CN"/>
              </w:rPr>
              <w:t>4</w:t>
            </w:r>
            <w:r>
              <w:rPr>
                <w:rFonts w:hint="eastAsia" w:ascii="Times New Roman" w:hAnsi="Times New Roman" w:eastAsia="宋体" w:cs="宋体"/>
                <w:caps w:val="0"/>
                <w:spacing w:val="0"/>
                <w:sz w:val="24"/>
                <w:szCs w:val="24"/>
                <w:highlight w:val="none"/>
                <w:lang w:val="en-US" w:eastAsia="zh-CN"/>
              </w:rPr>
              <w:t>.</w:t>
            </w:r>
            <w:r>
              <w:rPr>
                <w:rFonts w:hint="eastAsia" w:ascii="Times New Roman" w:hAnsi="Times New Roman" w:eastAsia="宋体" w:cs="宋体"/>
                <w:caps w:val="0"/>
                <w:spacing w:val="0"/>
                <w:sz w:val="24"/>
                <w:szCs w:val="24"/>
                <w:highlight w:val="none"/>
              </w:rPr>
              <w:t>一旦发现室内风险物质泄漏，现场人员应佩戴口罩，做好个人防护，迅速将包装桶倾斜，使破损处朝上，防止继续泄漏，然后将其转移至空桶内。并及时采用砂土或其他不燃材料吸附或吸收，吸附废物集中收集后委托有资质的单位处置。</w:t>
            </w:r>
          </w:p>
          <w:p w14:paraId="537C2B9E">
            <w:pPr>
              <w:widowControl/>
              <w:spacing w:line="360" w:lineRule="auto"/>
              <w:ind w:firstLine="360" w:firstLineChars="150"/>
              <w:jc w:val="left"/>
              <w:rPr>
                <w:rFonts w:hint="eastAsia" w:ascii="Times New Roman" w:hAnsi="Times New Roman" w:eastAsia="宋体" w:cs="宋体"/>
                <w:caps w:val="0"/>
                <w:spacing w:val="0"/>
                <w:sz w:val="24"/>
                <w:szCs w:val="24"/>
                <w:highlight w:val="none"/>
              </w:rPr>
            </w:pPr>
            <w:r>
              <w:rPr>
                <w:rFonts w:hint="eastAsia" w:ascii="Times New Roman" w:hAnsi="Times New Roman" w:cs="宋体"/>
                <w:caps w:val="0"/>
                <w:spacing w:val="0"/>
                <w:sz w:val="24"/>
                <w:szCs w:val="24"/>
                <w:highlight w:val="none"/>
                <w:lang w:val="en-US" w:eastAsia="zh-CN"/>
              </w:rPr>
              <w:t>5</w:t>
            </w:r>
            <w:r>
              <w:rPr>
                <w:rFonts w:hint="eastAsia" w:ascii="Times New Roman" w:hAnsi="Times New Roman" w:eastAsia="宋体" w:cs="宋体"/>
                <w:caps w:val="0"/>
                <w:spacing w:val="0"/>
                <w:sz w:val="24"/>
                <w:szCs w:val="24"/>
                <w:highlight w:val="none"/>
                <w:lang w:val="en-US" w:eastAsia="zh-CN"/>
              </w:rPr>
              <w:t>.</w:t>
            </w:r>
            <w:r>
              <w:rPr>
                <w:rFonts w:hint="eastAsia" w:ascii="Times New Roman" w:hAnsi="Times New Roman" w:eastAsia="宋体" w:cs="宋体"/>
                <w:caps w:val="0"/>
                <w:spacing w:val="0"/>
                <w:sz w:val="24"/>
                <w:szCs w:val="24"/>
                <w:highlight w:val="none"/>
              </w:rPr>
              <w:t>发生室外泄漏事故时，为防止对区域地表水环境造成影响，及时封堵雨水排口，防止经由雨水排口排入附近河流中造成水体污染。</w:t>
            </w:r>
          </w:p>
          <w:p w14:paraId="64290CE1">
            <w:pPr>
              <w:widowControl/>
              <w:spacing w:line="360" w:lineRule="auto"/>
              <w:ind w:firstLine="360" w:firstLineChars="150"/>
              <w:jc w:val="left"/>
              <w:rPr>
                <w:rFonts w:hint="eastAsia" w:ascii="Times New Roman" w:hAnsi="Times New Roman" w:eastAsia="宋体" w:cs="宋体"/>
                <w:caps w:val="0"/>
                <w:spacing w:val="0"/>
                <w:sz w:val="24"/>
                <w:szCs w:val="24"/>
                <w:highlight w:val="none"/>
              </w:rPr>
            </w:pPr>
            <w:r>
              <w:rPr>
                <w:rFonts w:hint="eastAsia" w:ascii="Times New Roman" w:hAnsi="Times New Roman" w:cs="宋体"/>
                <w:caps w:val="0"/>
                <w:spacing w:val="0"/>
                <w:sz w:val="24"/>
                <w:szCs w:val="24"/>
                <w:highlight w:val="none"/>
                <w:lang w:val="en-US" w:eastAsia="zh-CN"/>
              </w:rPr>
              <w:t>6</w:t>
            </w:r>
            <w:r>
              <w:rPr>
                <w:rFonts w:hint="eastAsia" w:ascii="Times New Roman" w:hAnsi="Times New Roman" w:eastAsia="宋体" w:cs="宋体"/>
                <w:caps w:val="0"/>
                <w:spacing w:val="0"/>
                <w:sz w:val="24"/>
                <w:szCs w:val="24"/>
                <w:highlight w:val="none"/>
                <w:lang w:val="en-US" w:eastAsia="zh-CN"/>
              </w:rPr>
              <w:t>.</w:t>
            </w:r>
            <w:r>
              <w:rPr>
                <w:rFonts w:hint="eastAsia" w:ascii="Times New Roman" w:hAnsi="Times New Roman" w:eastAsia="宋体" w:cs="宋体"/>
                <w:caps w:val="0"/>
                <w:spacing w:val="0"/>
                <w:sz w:val="24"/>
                <w:szCs w:val="24"/>
                <w:highlight w:val="none"/>
              </w:rPr>
              <w:t>当发生火灾事故时，现场人员或其他人员应该立刻拨打火警电话119，并立即通知有关人员停止作业，尽快切断所有电源，组织人员和其他易燃物品的疏散，使用灭火器及沙土即可。</w:t>
            </w:r>
          </w:p>
          <w:p w14:paraId="192638A4">
            <w:pPr>
              <w:widowControl/>
              <w:spacing w:line="360" w:lineRule="auto"/>
              <w:ind w:firstLine="360" w:firstLineChars="150"/>
              <w:jc w:val="left"/>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cs="宋体"/>
                <w:caps w:val="0"/>
                <w:spacing w:val="0"/>
                <w:sz w:val="24"/>
                <w:szCs w:val="24"/>
                <w:highlight w:val="none"/>
                <w:lang w:val="en-US" w:eastAsia="zh-CN"/>
              </w:rPr>
              <w:t>7.</w:t>
            </w:r>
            <w:r>
              <w:rPr>
                <w:rFonts w:hint="default" w:cs="宋体"/>
                <w:color w:val="auto"/>
                <w:sz w:val="24"/>
                <w:szCs w:val="24"/>
                <w:highlight w:val="none"/>
                <w:lang w:val="en-US" w:eastAsia="zh-CN"/>
              </w:rPr>
              <w:t>原辅材料储运中，</w:t>
            </w:r>
            <w:r>
              <w:rPr>
                <w:rFonts w:hint="eastAsia" w:cs="宋体"/>
                <w:color w:val="auto"/>
                <w:sz w:val="24"/>
                <w:szCs w:val="24"/>
                <w:highlight w:val="none"/>
                <w:lang w:val="en-US" w:eastAsia="zh-CN"/>
              </w:rPr>
              <w:t>柴油</w:t>
            </w:r>
            <w:r>
              <w:rPr>
                <w:rFonts w:hint="default" w:cs="宋体"/>
                <w:color w:val="auto"/>
                <w:sz w:val="24"/>
                <w:szCs w:val="24"/>
                <w:highlight w:val="none"/>
                <w:lang w:val="en-US" w:eastAsia="zh-CN"/>
              </w:rPr>
              <w:t>存于通风阴凉罐区，远离火种，入罐检验并</w:t>
            </w:r>
            <w:r>
              <w:rPr>
                <w:rFonts w:hint="eastAsia" w:cs="宋体"/>
                <w:color w:val="auto"/>
                <w:sz w:val="24"/>
                <w:szCs w:val="24"/>
                <w:highlight w:val="none"/>
                <w:lang w:val="en-US" w:eastAsia="zh-CN"/>
              </w:rPr>
              <w:t>配备</w:t>
            </w:r>
            <w:r>
              <w:rPr>
                <w:rFonts w:hint="default" w:cs="宋体"/>
                <w:color w:val="auto"/>
                <w:sz w:val="24"/>
                <w:szCs w:val="24"/>
                <w:highlight w:val="none"/>
                <w:lang w:val="en-US" w:eastAsia="zh-CN"/>
              </w:rPr>
              <w:t>消防器材，运输定车定人、规划路线，遇意外及时报告并处置。工艺设备选型注重可靠、易操作检修，提升自动化水平，按规程生产，设备静电接地，采用现场控制仪表监测报警。罐区实行专罐专储，合规布局，地面硬化防渗，设防火堤、机械通风，</w:t>
            </w:r>
            <w:r>
              <w:rPr>
                <w:rFonts w:hint="eastAsia" w:cs="宋体"/>
                <w:color w:val="auto"/>
                <w:sz w:val="24"/>
                <w:szCs w:val="24"/>
                <w:highlight w:val="none"/>
                <w:lang w:val="en-US" w:eastAsia="zh-CN"/>
              </w:rPr>
              <w:t>配备</w:t>
            </w:r>
            <w:r>
              <w:rPr>
                <w:rFonts w:hint="default" w:cs="宋体"/>
                <w:color w:val="auto"/>
                <w:sz w:val="24"/>
                <w:szCs w:val="24"/>
                <w:highlight w:val="none"/>
                <w:lang w:val="en-US" w:eastAsia="zh-CN"/>
              </w:rPr>
              <w:t>应急备用罐与事故应急池，围堰拦截泄漏物料并导入应急罐，泄漏未燃烧时警戒、控制、回收、冲洗，泄漏伴燃烧爆炸时灭火、管控废水、疏散人员并后续处理。泄漏事故防范强化运输管控，罐区</w:t>
            </w:r>
            <w:r>
              <w:rPr>
                <w:rFonts w:hint="eastAsia" w:cs="宋体"/>
                <w:color w:val="auto"/>
                <w:sz w:val="24"/>
                <w:szCs w:val="24"/>
                <w:highlight w:val="none"/>
                <w:lang w:val="en-US" w:eastAsia="zh-CN"/>
              </w:rPr>
              <w:t>设置</w:t>
            </w:r>
            <w:r>
              <w:rPr>
                <w:rFonts w:hint="default" w:cs="宋体"/>
                <w:color w:val="auto"/>
                <w:sz w:val="24"/>
                <w:szCs w:val="24"/>
                <w:highlight w:val="none"/>
                <w:lang w:val="en-US" w:eastAsia="zh-CN"/>
              </w:rPr>
              <w:t>围堰与应急收集系统，危险品储存使用双人双锁、专人监督，建立泄漏分级响应体系，定期巡检设备，关键参数自控，易损部件定期更换。电气设计按规范选设备，设事故照明、应急灯与诱导灯，按第三类防雷建筑设计，采用联合接地。次生、伴生环境风险设三级防控体系，罐区围堰、厂区事故水池、雨水外排切断装置收集处置泄漏液与消防废水。</w:t>
            </w:r>
          </w:p>
        </w:tc>
      </w:tr>
      <w:tr w14:paraId="7A3E5C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239" w:type="dxa"/>
            <w:noWrap w:val="0"/>
            <w:vAlign w:val="center"/>
          </w:tcPr>
          <w:p w14:paraId="2034A9BE">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其他环境</w:t>
            </w:r>
          </w:p>
          <w:p w14:paraId="04F9609C">
            <w:pPr>
              <w:spacing w:line="240" w:lineRule="auto"/>
              <w:ind w:firstLine="0" w:firstLineChars="0"/>
              <w:jc w:val="center"/>
              <w:rPr>
                <w:rFonts w:hint="eastAsia" w:ascii="Times New Roman" w:hAnsi="Times New Roman" w:eastAsia="宋体" w:cs="宋体"/>
                <w:caps w:val="0"/>
                <w:spacing w:val="0"/>
                <w:sz w:val="24"/>
                <w:szCs w:val="24"/>
                <w:highlight w:val="none"/>
              </w:rPr>
            </w:pPr>
            <w:r>
              <w:rPr>
                <w:rFonts w:hint="eastAsia" w:ascii="Times New Roman" w:hAnsi="Times New Roman" w:eastAsia="宋体" w:cs="宋体"/>
                <w:caps w:val="0"/>
                <w:spacing w:val="0"/>
                <w:sz w:val="24"/>
                <w:szCs w:val="24"/>
                <w:highlight w:val="none"/>
              </w:rPr>
              <w:t>管理要求</w:t>
            </w:r>
          </w:p>
        </w:tc>
        <w:tc>
          <w:tcPr>
            <w:tcW w:w="7283" w:type="dxa"/>
            <w:gridSpan w:val="4"/>
            <w:noWrap w:val="0"/>
            <w:vAlign w:val="center"/>
          </w:tcPr>
          <w:p w14:paraId="7040AB8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宋体"/>
                <w:b/>
                <w:bCs/>
                <w:caps w:val="0"/>
                <w:spacing w:val="0"/>
                <w:kern w:val="0"/>
                <w:sz w:val="24"/>
                <w:szCs w:val="24"/>
                <w:highlight w:val="none"/>
              </w:rPr>
            </w:pPr>
            <w:r>
              <w:rPr>
                <w:rFonts w:hint="eastAsia" w:ascii="Times New Roman" w:hAnsi="Times New Roman" w:eastAsia="宋体" w:cs="宋体"/>
                <w:b/>
                <w:bCs/>
                <w:caps w:val="0"/>
                <w:spacing w:val="0"/>
                <w:kern w:val="0"/>
                <w:sz w:val="24"/>
                <w:szCs w:val="24"/>
                <w:highlight w:val="none"/>
                <w:lang w:val="en-US" w:eastAsia="zh-CN"/>
              </w:rPr>
              <w:t>1.</w:t>
            </w:r>
            <w:r>
              <w:rPr>
                <w:rFonts w:hint="eastAsia" w:ascii="Times New Roman" w:hAnsi="Times New Roman" w:eastAsia="宋体" w:cs="宋体"/>
                <w:b/>
                <w:bCs/>
                <w:caps w:val="0"/>
                <w:spacing w:val="0"/>
                <w:kern w:val="0"/>
                <w:sz w:val="24"/>
                <w:szCs w:val="24"/>
                <w:highlight w:val="none"/>
              </w:rPr>
              <w:t>严格</w:t>
            </w:r>
            <w:r>
              <w:rPr>
                <w:rFonts w:hint="eastAsia" w:ascii="Times New Roman" w:hAnsi="Times New Roman" w:eastAsia="宋体" w:cs="宋体"/>
                <w:b/>
                <w:bCs/>
                <w:caps w:val="0"/>
                <w:spacing w:val="0"/>
                <w:kern w:val="0"/>
                <w:sz w:val="24"/>
                <w:szCs w:val="24"/>
                <w:highlight w:val="none"/>
                <w:lang w:val="en-US" w:eastAsia="zh-CN"/>
              </w:rPr>
              <w:t>落实</w:t>
            </w:r>
            <w:r>
              <w:rPr>
                <w:rFonts w:hint="eastAsia" w:ascii="Times New Roman" w:hAnsi="Times New Roman" w:eastAsia="宋体" w:cs="宋体"/>
                <w:b/>
                <w:bCs/>
                <w:caps w:val="0"/>
                <w:spacing w:val="0"/>
                <w:kern w:val="0"/>
                <w:sz w:val="24"/>
                <w:szCs w:val="24"/>
                <w:highlight w:val="none"/>
              </w:rPr>
              <w:t>排污许可制度</w:t>
            </w:r>
          </w:p>
          <w:p w14:paraId="72C104B7">
            <w:pPr>
              <w:keepNext w:val="0"/>
              <w:keepLines w:val="0"/>
              <w:widowControl/>
              <w:suppressLineNumbers w:val="0"/>
              <w:jc w:val="left"/>
              <w:rPr>
                <w:rFonts w:hint="default" w:ascii="Times New Roman" w:hAnsi="Times New Roman" w:eastAsia="宋体" w:cs="宋体"/>
                <w:caps w:val="0"/>
                <w:color w:val="auto"/>
                <w:spacing w:val="0"/>
                <w:kern w:val="0"/>
                <w:sz w:val="24"/>
                <w:szCs w:val="24"/>
                <w:highlight w:val="none"/>
                <w:lang w:val="en-US"/>
              </w:rPr>
            </w:pPr>
            <w:r>
              <w:rPr>
                <w:rFonts w:hint="eastAsia" w:ascii="Times New Roman" w:hAnsi="Times New Roman" w:eastAsia="宋体" w:cs="宋体"/>
                <w:caps w:val="0"/>
                <w:color w:val="auto"/>
                <w:spacing w:val="0"/>
                <w:kern w:val="0"/>
                <w:sz w:val="24"/>
                <w:szCs w:val="24"/>
                <w:highlight w:val="none"/>
              </w:rPr>
              <w:t>据《国务院办公厅关于印发控制污染物排放许可制实施方案的通知》（国办发</w:t>
            </w:r>
            <w:r>
              <w:rPr>
                <w:rFonts w:hint="eastAsia" w:ascii="Times New Roman" w:hAnsi="Times New Roman" w:eastAsia="宋体" w:cs="宋体"/>
                <w:caps w:val="0"/>
                <w:color w:val="auto"/>
                <w:spacing w:val="0"/>
                <w:kern w:val="0"/>
                <w:sz w:val="24"/>
                <w:szCs w:val="24"/>
                <w:highlight w:val="none"/>
                <w:lang w:eastAsia="zh-CN"/>
              </w:rPr>
              <w:t>〔</w:t>
            </w:r>
            <w:r>
              <w:rPr>
                <w:rFonts w:hint="eastAsia" w:ascii="Times New Roman" w:hAnsi="Times New Roman" w:eastAsia="宋体" w:cs="宋体"/>
                <w:caps w:val="0"/>
                <w:color w:val="auto"/>
                <w:spacing w:val="0"/>
                <w:kern w:val="0"/>
                <w:sz w:val="24"/>
                <w:szCs w:val="24"/>
                <w:highlight w:val="none"/>
              </w:rPr>
              <w:t>2016</w:t>
            </w:r>
            <w:r>
              <w:rPr>
                <w:rFonts w:hint="eastAsia" w:ascii="Times New Roman" w:hAnsi="Times New Roman" w:eastAsia="宋体" w:cs="宋体"/>
                <w:caps w:val="0"/>
                <w:color w:val="auto"/>
                <w:spacing w:val="0"/>
                <w:kern w:val="0"/>
                <w:sz w:val="24"/>
                <w:szCs w:val="24"/>
                <w:highlight w:val="none"/>
                <w:lang w:eastAsia="zh-CN"/>
              </w:rPr>
              <w:t>〕</w:t>
            </w:r>
            <w:r>
              <w:rPr>
                <w:rFonts w:hint="eastAsia" w:ascii="Times New Roman" w:hAnsi="Times New Roman" w:eastAsia="宋体" w:cs="宋体"/>
                <w:caps w:val="0"/>
                <w:color w:val="auto"/>
                <w:spacing w:val="0"/>
                <w:kern w:val="0"/>
                <w:sz w:val="24"/>
                <w:szCs w:val="24"/>
                <w:highlight w:val="none"/>
              </w:rPr>
              <w:t>81号）、《固定污染源排污许可分类管理名录（2019年版）》本项目属于</w:t>
            </w:r>
            <w:r>
              <w:rPr>
                <w:rFonts w:hint="eastAsia" w:ascii="Times New Roman" w:hAnsi="Times New Roman" w:eastAsia="宋体" w:cs="宋体"/>
                <w:caps w:val="0"/>
                <w:color w:val="auto"/>
                <w:spacing w:val="0"/>
                <w:kern w:val="0"/>
                <w:sz w:val="24"/>
                <w:szCs w:val="24"/>
                <w:highlight w:val="none"/>
                <w:lang w:eastAsia="zh-CN"/>
              </w:rPr>
              <w:t>“</w:t>
            </w:r>
            <w:r>
              <w:rPr>
                <w:rFonts w:hint="eastAsia" w:ascii="Times New Roman" w:hAnsi="Times New Roman" w:eastAsia="宋体" w:cs="宋体"/>
                <w:caps w:val="0"/>
                <w:color w:val="auto"/>
                <w:spacing w:val="0"/>
                <w:kern w:val="0"/>
                <w:sz w:val="24"/>
                <w:szCs w:val="24"/>
                <w:highlight w:val="none"/>
                <w:lang w:val="en-US" w:eastAsia="zh-CN"/>
              </w:rPr>
              <w:t>五十一、通用工序”中的“锅炉”中的“除纳入重点排污单位名录的，单台且合计出力20吨/小时（14兆瓦）以下的锅炉（不含热电锅炉）</w:t>
            </w:r>
            <w:r>
              <w:rPr>
                <w:rFonts w:hint="eastAsia" w:ascii="Times New Roman" w:hAnsi="Times New Roman" w:eastAsia="宋体" w:cs="宋体"/>
                <w:caps w:val="0"/>
                <w:color w:val="auto"/>
                <w:spacing w:val="0"/>
                <w:kern w:val="0"/>
                <w:sz w:val="24"/>
                <w:szCs w:val="24"/>
                <w:highlight w:val="none"/>
                <w:lang w:eastAsia="zh-CN"/>
              </w:rPr>
              <w:t>”</w:t>
            </w:r>
            <w:r>
              <w:rPr>
                <w:rFonts w:hint="eastAsia" w:ascii="Times New Roman" w:hAnsi="Times New Roman" w:eastAsia="宋体" w:cs="宋体"/>
                <w:caps w:val="0"/>
                <w:color w:val="auto"/>
                <w:spacing w:val="0"/>
                <w:kern w:val="0"/>
                <w:sz w:val="24"/>
                <w:szCs w:val="24"/>
                <w:highlight w:val="none"/>
                <w:lang w:val="en-US" w:eastAsia="zh-CN"/>
              </w:rPr>
              <w:t>应</w:t>
            </w:r>
            <w:r>
              <w:rPr>
                <w:rFonts w:hint="eastAsia" w:ascii="Times New Roman" w:hAnsi="Times New Roman" w:eastAsia="宋体" w:cs="宋体"/>
                <w:bCs w:val="0"/>
                <w:caps w:val="0"/>
                <w:color w:val="000000"/>
                <w:spacing w:val="0"/>
                <w:kern w:val="0"/>
                <w:sz w:val="24"/>
                <w:szCs w:val="24"/>
                <w:highlight w:val="none"/>
                <w:lang w:val="en-US" w:eastAsia="zh-CN" w:bidi="ar"/>
              </w:rPr>
              <w:t>属于实施登记管理。现有工程已完成排污许可的申领，排污许可证编号为91230300MA19EHM0XM001Q，在本项目建成投产前，应根据全厂情况进行排污许可变更。</w:t>
            </w:r>
          </w:p>
          <w:p w14:paraId="1A1A62D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宋体"/>
                <w:b/>
                <w:bCs/>
                <w:caps w:val="0"/>
                <w:color w:val="auto"/>
                <w:spacing w:val="0"/>
                <w:kern w:val="0"/>
                <w:sz w:val="24"/>
                <w:szCs w:val="24"/>
                <w:highlight w:val="none"/>
              </w:rPr>
            </w:pPr>
            <w:r>
              <w:rPr>
                <w:rFonts w:hint="eastAsia" w:ascii="Times New Roman" w:hAnsi="Times New Roman" w:eastAsia="宋体" w:cs="宋体"/>
                <w:b/>
                <w:bCs/>
                <w:caps w:val="0"/>
                <w:color w:val="auto"/>
                <w:spacing w:val="0"/>
                <w:kern w:val="0"/>
                <w:sz w:val="24"/>
                <w:szCs w:val="24"/>
                <w:highlight w:val="none"/>
                <w:lang w:val="en-US" w:eastAsia="zh-CN"/>
              </w:rPr>
              <w:t>2.</w:t>
            </w:r>
            <w:r>
              <w:rPr>
                <w:rFonts w:hint="eastAsia" w:ascii="Times New Roman" w:hAnsi="Times New Roman" w:eastAsia="宋体" w:cs="宋体"/>
                <w:b/>
                <w:bCs/>
                <w:caps w:val="0"/>
                <w:color w:val="auto"/>
                <w:spacing w:val="0"/>
                <w:kern w:val="0"/>
                <w:sz w:val="24"/>
                <w:szCs w:val="24"/>
                <w:highlight w:val="none"/>
              </w:rPr>
              <w:t>三同时竣工验收</w:t>
            </w:r>
          </w:p>
          <w:p w14:paraId="52C8349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aps w:val="0"/>
                <w:color w:val="auto"/>
                <w:spacing w:val="0"/>
                <w:kern w:val="0"/>
                <w:sz w:val="24"/>
                <w:szCs w:val="24"/>
                <w:highlight w:val="none"/>
              </w:rPr>
            </w:pPr>
            <w:r>
              <w:rPr>
                <w:rFonts w:hint="eastAsia" w:ascii="Times New Roman" w:hAnsi="Times New Roman" w:eastAsia="宋体" w:cs="宋体"/>
                <w:caps w:val="0"/>
                <w:color w:val="auto"/>
                <w:spacing w:val="0"/>
                <w:kern w:val="0"/>
                <w:sz w:val="24"/>
                <w:szCs w:val="24"/>
                <w:highlight w:val="none"/>
              </w:rPr>
              <w:t>建设单位应当按照</w:t>
            </w:r>
            <w:r>
              <w:rPr>
                <w:rFonts w:hint="eastAsia" w:ascii="Times New Roman" w:hAnsi="Times New Roman" w:eastAsia="宋体" w:cs="宋体"/>
                <w:caps w:val="0"/>
                <w:color w:val="auto"/>
                <w:spacing w:val="0"/>
                <w:kern w:val="0"/>
                <w:sz w:val="24"/>
                <w:szCs w:val="24"/>
                <w:highlight w:val="none"/>
                <w:lang w:eastAsia="zh-CN"/>
              </w:rPr>
              <w:t>“</w:t>
            </w:r>
            <w:r>
              <w:rPr>
                <w:rFonts w:hint="eastAsia" w:ascii="Times New Roman" w:hAnsi="Times New Roman" w:eastAsia="宋体" w:cs="宋体"/>
                <w:caps w:val="0"/>
                <w:color w:val="auto"/>
                <w:spacing w:val="0"/>
                <w:kern w:val="0"/>
                <w:sz w:val="24"/>
                <w:szCs w:val="24"/>
                <w:highlight w:val="none"/>
              </w:rPr>
              <w:t>关于发布《建设项目竣工环境保护验收暂行办法》的公告（国环规环评</w:t>
            </w:r>
            <w:r>
              <w:rPr>
                <w:rFonts w:hint="eastAsia" w:ascii="Times New Roman" w:hAnsi="Times New Roman" w:eastAsia="宋体" w:cs="宋体"/>
                <w:caps w:val="0"/>
                <w:color w:val="auto"/>
                <w:spacing w:val="0"/>
                <w:kern w:val="0"/>
                <w:sz w:val="24"/>
                <w:szCs w:val="24"/>
                <w:highlight w:val="none"/>
                <w:lang w:eastAsia="zh-CN"/>
              </w:rPr>
              <w:t>〔2017〕4号</w:t>
            </w:r>
            <w:r>
              <w:rPr>
                <w:rFonts w:hint="eastAsia" w:ascii="Times New Roman" w:hAnsi="Times New Roman" w:eastAsia="宋体" w:cs="宋体"/>
                <w:caps w:val="0"/>
                <w:color w:val="auto"/>
                <w:spacing w:val="0"/>
                <w:kern w:val="0"/>
                <w:sz w:val="24"/>
                <w:szCs w:val="24"/>
                <w:highlight w:val="none"/>
              </w:rPr>
              <w:t>）</w:t>
            </w:r>
            <w:r>
              <w:rPr>
                <w:rFonts w:hint="eastAsia" w:ascii="Times New Roman" w:hAnsi="Times New Roman" w:eastAsia="宋体" w:cs="宋体"/>
                <w:caps w:val="0"/>
                <w:color w:val="auto"/>
                <w:spacing w:val="0"/>
                <w:kern w:val="0"/>
                <w:sz w:val="24"/>
                <w:szCs w:val="24"/>
                <w:highlight w:val="none"/>
                <w:lang w:eastAsia="zh-CN"/>
              </w:rPr>
              <w:t>”</w:t>
            </w:r>
            <w:r>
              <w:rPr>
                <w:rFonts w:hint="eastAsia" w:ascii="Times New Roman" w:hAnsi="Times New Roman" w:eastAsia="宋体" w:cs="宋体"/>
                <w:caps w:val="0"/>
                <w:color w:val="auto"/>
                <w:spacing w:val="0"/>
                <w:kern w:val="0"/>
                <w:sz w:val="24"/>
                <w:szCs w:val="24"/>
                <w:highlight w:val="none"/>
              </w:rPr>
              <w:t>中</w:t>
            </w:r>
            <w:r>
              <w:rPr>
                <w:rFonts w:hint="eastAsia" w:ascii="Times New Roman" w:hAnsi="Times New Roman" w:eastAsia="宋体" w:cs="宋体"/>
                <w:caps w:val="0"/>
                <w:color w:val="auto"/>
                <w:spacing w:val="0"/>
                <w:kern w:val="0"/>
                <w:sz w:val="24"/>
                <w:szCs w:val="24"/>
                <w:highlight w:val="none"/>
                <w:lang w:eastAsia="zh-CN"/>
              </w:rPr>
              <w:t>“</w:t>
            </w:r>
            <w:r>
              <w:rPr>
                <w:rFonts w:hint="eastAsia" w:ascii="Times New Roman" w:hAnsi="Times New Roman" w:eastAsia="宋体" w:cs="宋体"/>
                <w:caps w:val="0"/>
                <w:color w:val="auto"/>
                <w:spacing w:val="0"/>
                <w:kern w:val="0"/>
                <w:sz w:val="24"/>
                <w:szCs w:val="24"/>
                <w:highlight w:val="none"/>
              </w:rPr>
              <w:t>《建设项目竣工环境保护验收暂行办法》</w:t>
            </w:r>
            <w:r>
              <w:rPr>
                <w:rFonts w:hint="eastAsia" w:ascii="Times New Roman" w:hAnsi="Times New Roman" w:eastAsia="宋体" w:cs="宋体"/>
                <w:caps w:val="0"/>
                <w:color w:val="auto"/>
                <w:spacing w:val="0"/>
                <w:kern w:val="0"/>
                <w:sz w:val="24"/>
                <w:szCs w:val="24"/>
                <w:highlight w:val="none"/>
                <w:lang w:eastAsia="zh-CN"/>
              </w:rPr>
              <w:t>”</w:t>
            </w:r>
            <w:r>
              <w:rPr>
                <w:rFonts w:hint="eastAsia" w:ascii="Times New Roman" w:hAnsi="Times New Roman" w:eastAsia="宋体" w:cs="宋体"/>
                <w:caps w:val="0"/>
                <w:color w:val="auto"/>
                <w:spacing w:val="0"/>
                <w:kern w:val="0"/>
                <w:sz w:val="24"/>
                <w:szCs w:val="24"/>
                <w:highlight w:val="none"/>
              </w:rPr>
              <w:t>要求，可以组织成立验收工作组，采取现场检查、资料查阅、召开验收会议等方式，协助开展验收工作，自行或委托有能力的技术机构编制验收报告</w:t>
            </w:r>
            <w:r>
              <w:rPr>
                <w:rFonts w:hint="eastAsia" w:ascii="Times New Roman" w:hAnsi="Times New Roman" w:eastAsia="宋体" w:cs="宋体"/>
                <w:caps w:val="0"/>
                <w:color w:val="auto"/>
                <w:spacing w:val="0"/>
                <w:kern w:val="0"/>
                <w:sz w:val="24"/>
                <w:szCs w:val="24"/>
                <w:highlight w:val="none"/>
                <w:lang w:eastAsia="zh-CN"/>
              </w:rPr>
              <w:t>。</w:t>
            </w:r>
          </w:p>
          <w:p w14:paraId="04E6BC0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宋体"/>
                <w:b/>
                <w:bCs/>
                <w:caps w:val="0"/>
                <w:spacing w:val="0"/>
                <w:sz w:val="24"/>
                <w:szCs w:val="24"/>
                <w:highlight w:val="none"/>
                <w:lang w:val="en-US" w:eastAsia="zh-CN"/>
              </w:rPr>
            </w:pPr>
            <w:r>
              <w:rPr>
                <w:rFonts w:hint="eastAsia" w:ascii="Times New Roman" w:hAnsi="Times New Roman" w:eastAsia="宋体" w:cs="宋体"/>
                <w:b/>
                <w:bCs/>
                <w:caps w:val="0"/>
                <w:spacing w:val="0"/>
                <w:sz w:val="24"/>
                <w:szCs w:val="24"/>
                <w:highlight w:val="none"/>
                <w:lang w:val="en-US" w:eastAsia="zh-CN"/>
              </w:rPr>
              <w:t>3.环境管理</w:t>
            </w:r>
          </w:p>
          <w:p w14:paraId="3F935FB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根据国家和地方有关法规，公司应设置专职的环境管理机构。其职责是制定公司的环保工作计划、规章制度，统筹管理公司内部环保治理工作；负责与政府环境保护部门取得联系；负责项目的环评报批、竣工环保验收，监督环境保护设施的运行等。</w:t>
            </w:r>
          </w:p>
          <w:p w14:paraId="439AA28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全公司设有各部门负责人担当环境保护领导小组成员，下设专职环保人员。环境保护设施由公司统一管理，专（兼）职环保人员与环境保护领导小组专职人员积极配合，落实正常生产中的环保措施，反馈污染治理设备的运行情况。针对项目实施过程中各阶段的具体情况，环境保护管理工作均由公司现有环境管理机构承担。</w:t>
            </w:r>
          </w:p>
          <w:p w14:paraId="1084763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eastAsia" w:ascii="Times New Roman" w:hAnsi="Times New Roman" w:eastAsia="宋体" w:cs="宋体"/>
                <w:b/>
                <w:bCs/>
                <w:caps w:val="0"/>
                <w:color w:val="auto"/>
                <w:spacing w:val="0"/>
                <w:kern w:val="0"/>
                <w:sz w:val="24"/>
                <w:szCs w:val="24"/>
                <w:highlight w:val="none"/>
              </w:rPr>
            </w:pPr>
            <w:r>
              <w:rPr>
                <w:rFonts w:hint="eastAsia" w:ascii="Times New Roman" w:hAnsi="Times New Roman" w:eastAsia="宋体" w:cs="宋体"/>
                <w:b/>
                <w:bCs/>
                <w:caps w:val="0"/>
                <w:color w:val="auto"/>
                <w:spacing w:val="0"/>
                <w:kern w:val="0"/>
                <w:sz w:val="24"/>
                <w:szCs w:val="24"/>
                <w:highlight w:val="none"/>
                <w:lang w:val="en-US" w:eastAsia="zh-CN"/>
              </w:rPr>
              <w:t>4.</w:t>
            </w:r>
            <w:r>
              <w:rPr>
                <w:rFonts w:hint="eastAsia" w:ascii="Times New Roman" w:hAnsi="Times New Roman" w:eastAsia="宋体" w:cs="宋体"/>
                <w:b/>
                <w:bCs/>
                <w:caps w:val="0"/>
                <w:color w:val="auto"/>
                <w:spacing w:val="0"/>
                <w:kern w:val="0"/>
                <w:sz w:val="24"/>
                <w:szCs w:val="24"/>
                <w:highlight w:val="none"/>
              </w:rPr>
              <w:t>环保投资概述</w:t>
            </w:r>
          </w:p>
          <w:p w14:paraId="0B006C4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宋体"/>
                <w:caps w:val="0"/>
                <w:color w:val="auto"/>
                <w:spacing w:val="0"/>
                <w:kern w:val="0"/>
                <w:sz w:val="24"/>
                <w:szCs w:val="24"/>
                <w:highlight w:val="none"/>
              </w:rPr>
            </w:pPr>
            <w:r>
              <w:rPr>
                <w:rFonts w:hint="eastAsia" w:ascii="Times New Roman" w:hAnsi="Times New Roman" w:eastAsia="宋体" w:cs="宋体"/>
                <w:caps w:val="0"/>
                <w:color w:val="auto"/>
                <w:spacing w:val="0"/>
                <w:kern w:val="0"/>
                <w:sz w:val="24"/>
                <w:szCs w:val="24"/>
                <w:highlight w:val="none"/>
              </w:rPr>
              <w:t>本项目总投资</w:t>
            </w:r>
            <w:r>
              <w:rPr>
                <w:rFonts w:hint="eastAsia" w:ascii="Times New Roman" w:hAnsi="Times New Roman" w:eastAsia="宋体" w:cs="宋体"/>
                <w:caps w:val="0"/>
                <w:spacing w:val="0"/>
                <w:sz w:val="24"/>
                <w:szCs w:val="24"/>
                <w:highlight w:val="none"/>
                <w:lang w:val="en-US" w:eastAsia="zh-CN"/>
              </w:rPr>
              <w:t>100</w:t>
            </w:r>
            <w:r>
              <w:rPr>
                <w:rFonts w:hint="eastAsia" w:ascii="Times New Roman" w:hAnsi="Times New Roman" w:eastAsia="宋体" w:cs="宋体"/>
                <w:caps w:val="0"/>
                <w:color w:val="auto"/>
                <w:spacing w:val="0"/>
                <w:kern w:val="0"/>
                <w:sz w:val="24"/>
                <w:szCs w:val="24"/>
                <w:highlight w:val="none"/>
              </w:rPr>
              <w:t>万元，环保投资约</w:t>
            </w:r>
            <w:r>
              <w:rPr>
                <w:rFonts w:hint="eastAsia" w:ascii="Times New Roman" w:hAnsi="Times New Roman" w:eastAsia="宋体" w:cs="宋体"/>
                <w:caps w:val="0"/>
                <w:color w:val="auto"/>
                <w:spacing w:val="0"/>
                <w:kern w:val="0"/>
                <w:sz w:val="24"/>
                <w:szCs w:val="24"/>
                <w:highlight w:val="none"/>
                <w:lang w:val="en-US" w:eastAsia="zh-CN"/>
              </w:rPr>
              <w:t>39.1</w:t>
            </w:r>
            <w:r>
              <w:rPr>
                <w:rFonts w:hint="eastAsia" w:ascii="Times New Roman" w:hAnsi="Times New Roman" w:eastAsia="宋体" w:cs="宋体"/>
                <w:caps w:val="0"/>
                <w:color w:val="auto"/>
                <w:spacing w:val="0"/>
                <w:kern w:val="0"/>
                <w:sz w:val="24"/>
                <w:szCs w:val="24"/>
                <w:highlight w:val="none"/>
              </w:rPr>
              <w:t>万元，占工程总投资的</w:t>
            </w:r>
            <w:r>
              <w:rPr>
                <w:rFonts w:hint="eastAsia" w:ascii="Times New Roman" w:hAnsi="Times New Roman" w:eastAsia="宋体" w:cs="宋体"/>
                <w:caps w:val="0"/>
                <w:color w:val="auto"/>
                <w:spacing w:val="0"/>
                <w:kern w:val="0"/>
                <w:sz w:val="24"/>
                <w:szCs w:val="24"/>
                <w:highlight w:val="none"/>
                <w:lang w:val="en-US" w:eastAsia="zh-CN"/>
              </w:rPr>
              <w:t>39.1</w:t>
            </w:r>
            <w:r>
              <w:rPr>
                <w:rFonts w:hint="eastAsia" w:ascii="Times New Roman" w:hAnsi="Times New Roman" w:eastAsia="宋体" w:cs="宋体"/>
                <w:caps w:val="0"/>
                <w:color w:val="auto"/>
                <w:spacing w:val="0"/>
                <w:kern w:val="0"/>
                <w:sz w:val="24"/>
                <w:szCs w:val="24"/>
                <w:highlight w:val="none"/>
              </w:rPr>
              <w:t>%，具体环保投资见下表。</w:t>
            </w:r>
          </w:p>
          <w:p w14:paraId="1CC5A3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kern w:val="0"/>
                <w:szCs w:val="21"/>
                <w:highlight w:val="none"/>
              </w:rPr>
            </w:pPr>
            <w:r>
              <w:rPr>
                <w:rFonts w:hint="eastAsia" w:ascii="Times New Roman" w:hAnsi="Times New Roman" w:eastAsia="宋体" w:cs="宋体"/>
                <w:b/>
                <w:bCs/>
                <w:caps w:val="0"/>
                <w:color w:val="auto"/>
                <w:spacing w:val="0"/>
                <w:kern w:val="0"/>
                <w:sz w:val="21"/>
                <w:szCs w:val="21"/>
                <w:highlight w:val="none"/>
              </w:rPr>
              <w:t>表5-1   本项目环保投资一览表</w:t>
            </w:r>
          </w:p>
          <w:tbl>
            <w:tblPr>
              <w:tblStyle w:val="35"/>
              <w:tblW w:w="498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8"/>
              <w:gridCol w:w="1768"/>
            </w:tblGrid>
            <w:tr w14:paraId="507F2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12" w:space="0"/>
                    <w:left w:val="nil"/>
                    <w:bottom w:val="single" w:color="auto" w:sz="4" w:space="0"/>
                    <w:right w:val="single" w:color="auto" w:sz="4" w:space="0"/>
                  </w:tcBorders>
                  <w:noWrap w:val="0"/>
                  <w:vAlign w:val="center"/>
                </w:tcPr>
                <w:p w14:paraId="134803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kern w:val="0"/>
                      <w:sz w:val="21"/>
                      <w:szCs w:val="21"/>
                      <w:highlight w:val="none"/>
                    </w:rPr>
                  </w:pPr>
                  <w:r>
                    <w:rPr>
                      <w:rFonts w:hint="eastAsia" w:ascii="Times New Roman" w:hAnsi="Times New Roman" w:eastAsia="宋体" w:cs="宋体"/>
                      <w:b/>
                      <w:bCs/>
                      <w:caps w:val="0"/>
                      <w:color w:val="auto"/>
                      <w:spacing w:val="0"/>
                      <w:kern w:val="0"/>
                      <w:sz w:val="21"/>
                      <w:szCs w:val="21"/>
                      <w:highlight w:val="none"/>
                    </w:rPr>
                    <w:t>环保措施</w:t>
                  </w:r>
                </w:p>
              </w:tc>
              <w:tc>
                <w:tcPr>
                  <w:tcW w:w="1256" w:type="pct"/>
                  <w:tcBorders>
                    <w:top w:val="single" w:color="auto" w:sz="12" w:space="0"/>
                    <w:left w:val="single" w:color="auto" w:sz="4" w:space="0"/>
                    <w:bottom w:val="single" w:color="auto" w:sz="4" w:space="0"/>
                    <w:right w:val="nil"/>
                  </w:tcBorders>
                  <w:noWrap w:val="0"/>
                  <w:vAlign w:val="center"/>
                </w:tcPr>
                <w:p w14:paraId="588327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caps w:val="0"/>
                      <w:color w:val="auto"/>
                      <w:spacing w:val="0"/>
                      <w:kern w:val="0"/>
                      <w:sz w:val="21"/>
                      <w:szCs w:val="21"/>
                      <w:highlight w:val="none"/>
                    </w:rPr>
                  </w:pPr>
                  <w:r>
                    <w:rPr>
                      <w:rFonts w:hint="eastAsia" w:ascii="Times New Roman" w:hAnsi="Times New Roman" w:eastAsia="宋体" w:cs="宋体"/>
                      <w:b/>
                      <w:bCs/>
                      <w:caps w:val="0"/>
                      <w:color w:val="auto"/>
                      <w:spacing w:val="0"/>
                      <w:kern w:val="0"/>
                      <w:sz w:val="21"/>
                      <w:szCs w:val="21"/>
                      <w:highlight w:val="none"/>
                    </w:rPr>
                    <w:t>投资额（万元）</w:t>
                  </w:r>
                </w:p>
              </w:tc>
            </w:tr>
            <w:tr w14:paraId="0128C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4" w:space="0"/>
                    <w:left w:val="nil"/>
                    <w:bottom w:val="single" w:color="auto" w:sz="4" w:space="0"/>
                    <w:right w:val="single" w:color="auto" w:sz="4" w:space="0"/>
                  </w:tcBorders>
                  <w:noWrap w:val="0"/>
                  <w:vAlign w:val="center"/>
                </w:tcPr>
                <w:p w14:paraId="77A2DF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导热油炉</w:t>
                  </w:r>
                  <w:r>
                    <w:rPr>
                      <w:rFonts w:hint="eastAsia" w:ascii="Times New Roman" w:hAnsi="Times New Roman" w:eastAsia="宋体" w:cs="宋体"/>
                      <w:caps w:val="0"/>
                      <w:color w:val="auto"/>
                      <w:spacing w:val="0"/>
                      <w:kern w:val="0"/>
                      <w:sz w:val="21"/>
                      <w:szCs w:val="21"/>
                      <w:highlight w:val="none"/>
                      <w:lang w:val="en-US" w:eastAsia="zh-CN"/>
                    </w:rPr>
                    <w:t>烟囱</w:t>
                  </w:r>
                </w:p>
              </w:tc>
              <w:tc>
                <w:tcPr>
                  <w:tcW w:w="1256" w:type="pct"/>
                  <w:tcBorders>
                    <w:top w:val="single" w:color="auto" w:sz="4" w:space="0"/>
                    <w:left w:val="single" w:color="auto" w:sz="4" w:space="0"/>
                    <w:bottom w:val="single" w:color="auto" w:sz="4" w:space="0"/>
                    <w:right w:val="nil"/>
                  </w:tcBorders>
                  <w:noWrap w:val="0"/>
                  <w:vAlign w:val="center"/>
                </w:tcPr>
                <w:p w14:paraId="4DCA05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4</w:t>
                  </w:r>
                </w:p>
              </w:tc>
            </w:tr>
            <w:tr w14:paraId="777A0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4" w:space="0"/>
                    <w:left w:val="nil"/>
                    <w:bottom w:val="single" w:color="auto" w:sz="4" w:space="0"/>
                    <w:right w:val="single" w:color="auto" w:sz="4" w:space="0"/>
                  </w:tcBorders>
                  <w:noWrap w:val="0"/>
                  <w:vAlign w:val="center"/>
                </w:tcPr>
                <w:p w14:paraId="613F10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低氮燃烧器</w:t>
                  </w:r>
                </w:p>
              </w:tc>
              <w:tc>
                <w:tcPr>
                  <w:tcW w:w="1256" w:type="pct"/>
                  <w:tcBorders>
                    <w:top w:val="single" w:color="auto" w:sz="4" w:space="0"/>
                    <w:left w:val="single" w:color="auto" w:sz="4" w:space="0"/>
                    <w:bottom w:val="single" w:color="auto" w:sz="4" w:space="0"/>
                    <w:right w:val="nil"/>
                  </w:tcBorders>
                  <w:noWrap w:val="0"/>
                  <w:vAlign w:val="center"/>
                </w:tcPr>
                <w:p w14:paraId="446F37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5</w:t>
                  </w:r>
                </w:p>
              </w:tc>
            </w:tr>
            <w:tr w14:paraId="79DE6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4" w:space="0"/>
                    <w:left w:val="nil"/>
                    <w:bottom w:val="single" w:color="auto" w:sz="4" w:space="0"/>
                    <w:right w:val="single" w:color="auto" w:sz="4" w:space="0"/>
                  </w:tcBorders>
                  <w:noWrap w:val="0"/>
                  <w:vAlign w:val="center"/>
                </w:tcPr>
                <w:p w14:paraId="336049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布袋除尘器</w:t>
                  </w:r>
                </w:p>
              </w:tc>
              <w:tc>
                <w:tcPr>
                  <w:tcW w:w="1256" w:type="pct"/>
                  <w:tcBorders>
                    <w:top w:val="single" w:color="auto" w:sz="4" w:space="0"/>
                    <w:left w:val="single" w:color="auto" w:sz="4" w:space="0"/>
                    <w:bottom w:val="single" w:color="auto" w:sz="4" w:space="0"/>
                    <w:right w:val="nil"/>
                  </w:tcBorders>
                  <w:noWrap w:val="0"/>
                  <w:vAlign w:val="center"/>
                </w:tcPr>
                <w:p w14:paraId="4AAFD5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1</w:t>
                  </w:r>
                  <w:r>
                    <w:rPr>
                      <w:rFonts w:hint="eastAsia" w:ascii="Times New Roman" w:hAnsi="Times New Roman" w:cs="宋体"/>
                      <w:caps w:val="0"/>
                      <w:color w:val="auto"/>
                      <w:spacing w:val="0"/>
                      <w:kern w:val="0"/>
                      <w:sz w:val="21"/>
                      <w:szCs w:val="21"/>
                      <w:highlight w:val="none"/>
                      <w:lang w:val="en-US" w:eastAsia="zh-CN"/>
                    </w:rPr>
                    <w:t>2</w:t>
                  </w:r>
                </w:p>
              </w:tc>
            </w:tr>
            <w:tr w14:paraId="6CBD2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4" w:space="0"/>
                    <w:left w:val="nil"/>
                    <w:bottom w:val="single" w:color="auto" w:sz="4" w:space="0"/>
                    <w:right w:val="single" w:color="auto" w:sz="4" w:space="0"/>
                  </w:tcBorders>
                  <w:noWrap w:val="0"/>
                  <w:vAlign w:val="center"/>
                </w:tcPr>
                <w:p w14:paraId="102735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rPr>
                  </w:pPr>
                  <w:r>
                    <w:rPr>
                      <w:rFonts w:hint="eastAsia" w:ascii="Times New Roman" w:hAnsi="Times New Roman" w:eastAsia="宋体" w:cs="宋体"/>
                      <w:caps w:val="0"/>
                      <w:color w:val="auto"/>
                      <w:spacing w:val="0"/>
                      <w:kern w:val="0"/>
                      <w:sz w:val="21"/>
                      <w:szCs w:val="21"/>
                      <w:highlight w:val="none"/>
                    </w:rPr>
                    <w:t>隔声罩，基础减振降噪</w:t>
                  </w:r>
                </w:p>
              </w:tc>
              <w:tc>
                <w:tcPr>
                  <w:tcW w:w="1256" w:type="pct"/>
                  <w:tcBorders>
                    <w:top w:val="single" w:color="auto" w:sz="4" w:space="0"/>
                    <w:left w:val="single" w:color="auto" w:sz="4" w:space="0"/>
                    <w:bottom w:val="single" w:color="auto" w:sz="4" w:space="0"/>
                    <w:right w:val="nil"/>
                  </w:tcBorders>
                  <w:noWrap w:val="0"/>
                  <w:vAlign w:val="center"/>
                </w:tcPr>
                <w:p w14:paraId="345FFB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2</w:t>
                  </w:r>
                </w:p>
              </w:tc>
            </w:tr>
            <w:tr w14:paraId="15012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4" w:space="0"/>
                    <w:left w:val="nil"/>
                    <w:bottom w:val="single" w:color="auto" w:sz="4" w:space="0"/>
                    <w:right w:val="single" w:color="auto" w:sz="4" w:space="0"/>
                  </w:tcBorders>
                  <w:noWrap w:val="0"/>
                  <w:vAlign w:val="center"/>
                </w:tcPr>
                <w:p w14:paraId="23E400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cs="宋体"/>
                      <w:caps w:val="0"/>
                      <w:color w:val="auto"/>
                      <w:spacing w:val="0"/>
                      <w:kern w:val="0"/>
                      <w:sz w:val="21"/>
                      <w:szCs w:val="21"/>
                      <w:highlight w:val="none"/>
                      <w:lang w:val="en-US" w:eastAsia="zh-CN"/>
                    </w:rPr>
                    <w:t>危废贮存点、事故池</w:t>
                  </w:r>
                </w:p>
              </w:tc>
              <w:tc>
                <w:tcPr>
                  <w:tcW w:w="1256" w:type="pct"/>
                  <w:tcBorders>
                    <w:top w:val="single" w:color="auto" w:sz="4" w:space="0"/>
                    <w:left w:val="single" w:color="auto" w:sz="4" w:space="0"/>
                    <w:bottom w:val="single" w:color="auto" w:sz="4" w:space="0"/>
                    <w:right w:val="nil"/>
                  </w:tcBorders>
                  <w:noWrap w:val="0"/>
                  <w:vAlign w:val="center"/>
                </w:tcPr>
                <w:p w14:paraId="248DA9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cs="宋体"/>
                      <w:caps w:val="0"/>
                      <w:color w:val="auto"/>
                      <w:spacing w:val="0"/>
                      <w:kern w:val="0"/>
                      <w:sz w:val="21"/>
                      <w:szCs w:val="21"/>
                      <w:highlight w:val="none"/>
                      <w:lang w:val="en-US" w:eastAsia="zh-CN"/>
                    </w:rPr>
                    <w:t>3</w:t>
                  </w:r>
                </w:p>
              </w:tc>
            </w:tr>
            <w:tr w14:paraId="4B6E5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4" w:space="0"/>
                    <w:left w:val="nil"/>
                    <w:bottom w:val="single" w:color="auto" w:sz="4" w:space="0"/>
                    <w:right w:val="single" w:color="auto" w:sz="4" w:space="0"/>
                  </w:tcBorders>
                  <w:noWrap w:val="0"/>
                  <w:vAlign w:val="center"/>
                </w:tcPr>
                <w:p w14:paraId="1C8D1E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锅炉房、燃料储罐</w:t>
                  </w:r>
                  <w:r>
                    <w:rPr>
                      <w:rFonts w:hint="eastAsia" w:ascii="Times New Roman" w:hAnsi="Times New Roman" w:cs="宋体"/>
                      <w:caps w:val="0"/>
                      <w:color w:val="auto"/>
                      <w:spacing w:val="0"/>
                      <w:kern w:val="0"/>
                      <w:sz w:val="21"/>
                      <w:szCs w:val="21"/>
                      <w:highlight w:val="none"/>
                      <w:lang w:val="en-US" w:eastAsia="zh-CN"/>
                    </w:rPr>
                    <w:t>、危废贮存点</w:t>
                  </w:r>
                  <w:r>
                    <w:rPr>
                      <w:rFonts w:hint="eastAsia" w:ascii="Times New Roman" w:hAnsi="Times New Roman" w:eastAsia="宋体" w:cs="宋体"/>
                      <w:caps w:val="0"/>
                      <w:color w:val="auto"/>
                      <w:spacing w:val="0"/>
                      <w:kern w:val="0"/>
                      <w:sz w:val="21"/>
                      <w:szCs w:val="21"/>
                      <w:highlight w:val="none"/>
                      <w:lang w:val="en-US" w:eastAsia="zh-CN"/>
                    </w:rPr>
                    <w:t>等</w:t>
                  </w:r>
                  <w:r>
                    <w:rPr>
                      <w:rFonts w:hint="eastAsia" w:ascii="Times New Roman" w:hAnsi="Times New Roman" w:cs="宋体"/>
                      <w:caps w:val="0"/>
                      <w:color w:val="auto"/>
                      <w:spacing w:val="0"/>
                      <w:kern w:val="0"/>
                      <w:sz w:val="21"/>
                      <w:szCs w:val="21"/>
                      <w:highlight w:val="none"/>
                      <w:lang w:val="en-US" w:eastAsia="zh-CN"/>
                    </w:rPr>
                    <w:t>地下水</w:t>
                  </w:r>
                  <w:r>
                    <w:rPr>
                      <w:rFonts w:hint="eastAsia" w:ascii="Times New Roman" w:hAnsi="Times New Roman" w:eastAsia="宋体" w:cs="宋体"/>
                      <w:caps w:val="0"/>
                      <w:color w:val="auto"/>
                      <w:spacing w:val="0"/>
                      <w:kern w:val="0"/>
                      <w:sz w:val="21"/>
                      <w:szCs w:val="21"/>
                      <w:highlight w:val="none"/>
                      <w:lang w:val="en-US" w:eastAsia="zh-CN"/>
                    </w:rPr>
                    <w:t>防渗措施</w:t>
                  </w:r>
                </w:p>
              </w:tc>
              <w:tc>
                <w:tcPr>
                  <w:tcW w:w="1256" w:type="pct"/>
                  <w:tcBorders>
                    <w:top w:val="single" w:color="auto" w:sz="4" w:space="0"/>
                    <w:left w:val="single" w:color="auto" w:sz="4" w:space="0"/>
                    <w:bottom w:val="single" w:color="auto" w:sz="4" w:space="0"/>
                    <w:right w:val="nil"/>
                  </w:tcBorders>
                  <w:noWrap w:val="0"/>
                  <w:vAlign w:val="center"/>
                </w:tcPr>
                <w:p w14:paraId="36F8FB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3</w:t>
                  </w:r>
                </w:p>
              </w:tc>
            </w:tr>
            <w:tr w14:paraId="3FCDB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4" w:space="0"/>
                    <w:left w:val="nil"/>
                    <w:bottom w:val="single" w:color="auto" w:sz="4" w:space="0"/>
                    <w:right w:val="single" w:color="auto" w:sz="4" w:space="0"/>
                  </w:tcBorders>
                  <w:noWrap w:val="0"/>
                  <w:vAlign w:val="center"/>
                </w:tcPr>
                <w:p w14:paraId="648C92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环保措施的运行与维护</w:t>
                  </w:r>
                </w:p>
              </w:tc>
              <w:tc>
                <w:tcPr>
                  <w:tcW w:w="1256" w:type="pct"/>
                  <w:tcBorders>
                    <w:top w:val="single" w:color="auto" w:sz="4" w:space="0"/>
                    <w:left w:val="single" w:color="auto" w:sz="4" w:space="0"/>
                    <w:bottom w:val="single" w:color="auto" w:sz="4" w:space="0"/>
                    <w:right w:val="nil"/>
                  </w:tcBorders>
                  <w:noWrap w:val="0"/>
                  <w:vAlign w:val="center"/>
                </w:tcPr>
                <w:p w14:paraId="69CF1A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5</w:t>
                  </w:r>
                </w:p>
              </w:tc>
            </w:tr>
            <w:tr w14:paraId="142B9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4" w:space="0"/>
                    <w:left w:val="nil"/>
                    <w:bottom w:val="single" w:color="auto" w:sz="4" w:space="0"/>
                    <w:right w:val="single" w:color="auto" w:sz="4" w:space="0"/>
                  </w:tcBorders>
                  <w:noWrap w:val="0"/>
                  <w:vAlign w:val="center"/>
                </w:tcPr>
                <w:p w14:paraId="7CEC90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环境管理与监测费用</w:t>
                  </w:r>
                </w:p>
              </w:tc>
              <w:tc>
                <w:tcPr>
                  <w:tcW w:w="1256" w:type="pct"/>
                  <w:tcBorders>
                    <w:top w:val="single" w:color="auto" w:sz="4" w:space="0"/>
                    <w:left w:val="single" w:color="auto" w:sz="4" w:space="0"/>
                    <w:bottom w:val="single" w:color="auto" w:sz="4" w:space="0"/>
                    <w:right w:val="nil"/>
                  </w:tcBorders>
                  <w:noWrap w:val="0"/>
                  <w:vAlign w:val="center"/>
                </w:tcPr>
                <w:p w14:paraId="3CCEBC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5</w:t>
                  </w:r>
                </w:p>
              </w:tc>
            </w:tr>
            <w:tr w14:paraId="32082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4" w:space="0"/>
                    <w:left w:val="nil"/>
                    <w:bottom w:val="single" w:color="auto" w:sz="4" w:space="0"/>
                    <w:right w:val="single" w:color="auto" w:sz="4" w:space="0"/>
                  </w:tcBorders>
                  <w:noWrap w:val="0"/>
                  <w:vAlign w:val="center"/>
                </w:tcPr>
                <w:p w14:paraId="3D4C16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rPr>
                  </w:pPr>
                  <w:r>
                    <w:rPr>
                      <w:rFonts w:hint="eastAsia" w:ascii="Times New Roman" w:hAnsi="Times New Roman" w:eastAsia="宋体" w:cs="宋体"/>
                      <w:caps w:val="0"/>
                      <w:color w:val="auto"/>
                      <w:spacing w:val="0"/>
                      <w:kern w:val="0"/>
                      <w:sz w:val="21"/>
                      <w:szCs w:val="21"/>
                      <w:highlight w:val="none"/>
                    </w:rPr>
                    <w:t>排污口规范化</w:t>
                  </w:r>
                </w:p>
              </w:tc>
              <w:tc>
                <w:tcPr>
                  <w:tcW w:w="1256" w:type="pct"/>
                  <w:tcBorders>
                    <w:top w:val="single" w:color="auto" w:sz="4" w:space="0"/>
                    <w:left w:val="single" w:color="auto" w:sz="4" w:space="0"/>
                    <w:bottom w:val="single" w:color="auto" w:sz="4" w:space="0"/>
                    <w:right w:val="nil"/>
                  </w:tcBorders>
                  <w:noWrap w:val="0"/>
                  <w:vAlign w:val="center"/>
                </w:tcPr>
                <w:p w14:paraId="47E2DE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0.1</w:t>
                  </w:r>
                </w:p>
              </w:tc>
            </w:tr>
            <w:tr w14:paraId="7B88C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3" w:type="pct"/>
                  <w:tcBorders>
                    <w:top w:val="single" w:color="auto" w:sz="4" w:space="0"/>
                    <w:left w:val="nil"/>
                    <w:bottom w:val="single" w:color="auto" w:sz="12" w:space="0"/>
                    <w:right w:val="single" w:color="auto" w:sz="4" w:space="0"/>
                  </w:tcBorders>
                  <w:noWrap w:val="0"/>
                  <w:vAlign w:val="center"/>
                </w:tcPr>
                <w:p w14:paraId="011660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aps w:val="0"/>
                      <w:color w:val="auto"/>
                      <w:spacing w:val="0"/>
                      <w:kern w:val="0"/>
                      <w:sz w:val="21"/>
                      <w:szCs w:val="21"/>
                      <w:highlight w:val="none"/>
                    </w:rPr>
                  </w:pPr>
                  <w:r>
                    <w:rPr>
                      <w:rFonts w:hint="eastAsia" w:ascii="Times New Roman" w:hAnsi="Times New Roman" w:eastAsia="宋体" w:cs="宋体"/>
                      <w:caps w:val="0"/>
                      <w:color w:val="auto"/>
                      <w:spacing w:val="0"/>
                      <w:kern w:val="0"/>
                      <w:sz w:val="21"/>
                      <w:szCs w:val="21"/>
                      <w:highlight w:val="none"/>
                    </w:rPr>
                    <w:t>合计</w:t>
                  </w:r>
                </w:p>
              </w:tc>
              <w:tc>
                <w:tcPr>
                  <w:tcW w:w="1256" w:type="pct"/>
                  <w:tcBorders>
                    <w:top w:val="single" w:color="auto" w:sz="4" w:space="0"/>
                    <w:left w:val="single" w:color="auto" w:sz="4" w:space="0"/>
                    <w:bottom w:val="single" w:color="auto" w:sz="12" w:space="0"/>
                    <w:right w:val="nil"/>
                  </w:tcBorders>
                  <w:noWrap w:val="0"/>
                  <w:vAlign w:val="center"/>
                </w:tcPr>
                <w:p w14:paraId="2B4F1B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aps w:val="0"/>
                      <w:color w:val="auto"/>
                      <w:spacing w:val="0"/>
                      <w:kern w:val="0"/>
                      <w:sz w:val="21"/>
                      <w:szCs w:val="21"/>
                      <w:highlight w:val="none"/>
                      <w:lang w:val="en-US" w:eastAsia="zh-CN"/>
                    </w:rPr>
                  </w:pPr>
                  <w:r>
                    <w:rPr>
                      <w:rFonts w:hint="eastAsia" w:ascii="Times New Roman" w:hAnsi="Times New Roman" w:eastAsia="宋体" w:cs="宋体"/>
                      <w:caps w:val="0"/>
                      <w:color w:val="auto"/>
                      <w:spacing w:val="0"/>
                      <w:kern w:val="0"/>
                      <w:sz w:val="21"/>
                      <w:szCs w:val="21"/>
                      <w:highlight w:val="none"/>
                      <w:lang w:val="en-US" w:eastAsia="zh-CN"/>
                    </w:rPr>
                    <w:t>39.1</w:t>
                  </w:r>
                </w:p>
              </w:tc>
            </w:tr>
          </w:tbl>
          <w:p w14:paraId="397976D0">
            <w:pPr>
              <w:ind w:firstLine="0" w:firstLineChars="0"/>
              <w:jc w:val="center"/>
              <w:rPr>
                <w:rFonts w:hint="eastAsia" w:ascii="Times New Roman" w:hAnsi="Times New Roman" w:eastAsia="宋体" w:cs="宋体"/>
                <w:caps w:val="0"/>
                <w:spacing w:val="0"/>
                <w:sz w:val="24"/>
                <w:szCs w:val="24"/>
                <w:highlight w:val="none"/>
              </w:rPr>
            </w:pPr>
          </w:p>
        </w:tc>
      </w:tr>
    </w:tbl>
    <w:p w14:paraId="7EF44B7F">
      <w:pPr>
        <w:pStyle w:val="7"/>
        <w:spacing w:line="360" w:lineRule="auto"/>
        <w:jc w:val="center"/>
        <w:rPr>
          <w:rFonts w:hint="eastAsia" w:ascii="Times New Roman" w:hAnsi="Times New Roman" w:eastAsia="宋体" w:cs="宋体"/>
          <w:bCs w:val="0"/>
          <w:caps w:val="0"/>
          <w:spacing w:val="0"/>
          <w:highlight w:val="none"/>
        </w:rPr>
      </w:pPr>
      <w:r>
        <w:rPr>
          <w:rFonts w:hint="eastAsia" w:ascii="Times New Roman" w:hAnsi="Times New Roman" w:eastAsia="宋体" w:cs="宋体"/>
          <w:caps w:val="0"/>
          <w:color w:val="FF0000"/>
          <w:spacing w:val="0"/>
          <w:highlight w:val="none"/>
        </w:rPr>
        <w:br w:type="page"/>
      </w:r>
      <w:bookmarkStart w:id="18" w:name="_Toc71191481"/>
      <w:bookmarkStart w:id="19" w:name="_Toc6759"/>
      <w:r>
        <w:rPr>
          <w:rFonts w:hint="eastAsia" w:ascii="Times New Roman" w:hAnsi="Times New Roman" w:eastAsia="宋体" w:cs="宋体"/>
          <w:bCs w:val="0"/>
          <w:caps w:val="0"/>
          <w:spacing w:val="0"/>
          <w:highlight w:val="none"/>
        </w:rPr>
        <w:t>六、结论</w:t>
      </w:r>
      <w:bookmarkEnd w:id="18"/>
      <w:bookmarkEnd w:id="19"/>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2253B0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3" w:hRule="atLeast"/>
          <w:jc w:val="center"/>
        </w:trPr>
        <w:tc>
          <w:tcPr>
            <w:tcW w:w="8865" w:type="dxa"/>
            <w:noWrap w:val="0"/>
            <w:vAlign w:val="top"/>
          </w:tcPr>
          <w:p w14:paraId="7B5E4248">
            <w:pPr>
              <w:jc w:val="both"/>
              <w:rPr>
                <w:rFonts w:hint="eastAsia" w:ascii="Times New Roman" w:hAnsi="Times New Roman" w:eastAsia="宋体" w:cs="宋体"/>
                <w:caps w:val="0"/>
                <w:color w:val="FF0000"/>
                <w:spacing w:val="0"/>
                <w:highlight w:val="none"/>
              </w:rPr>
            </w:pPr>
            <w:r>
              <w:rPr>
                <w:rFonts w:hint="eastAsia" w:ascii="Times New Roman" w:hAnsi="Times New Roman" w:eastAsia="宋体" w:cs="宋体"/>
                <w:caps w:val="0"/>
                <w:color w:val="auto"/>
                <w:spacing w:val="0"/>
                <w:sz w:val="24"/>
                <w:highlight w:val="none"/>
              </w:rPr>
              <w:t>本项目在确保严格落实本报告表提出的污染物防治措施的前提下，对环境空气、地表水环境、声环境等的影响较小，可以被周围环境所接受，能够做到社会效益、经济效益和环境效益的统一。因此，本项目的建设从环境保护的角度而言是可行的。</w:t>
            </w:r>
          </w:p>
        </w:tc>
      </w:tr>
    </w:tbl>
    <w:p w14:paraId="663C6EDC">
      <w:pPr>
        <w:rPr>
          <w:rFonts w:hint="eastAsia" w:ascii="Times New Roman" w:hAnsi="Times New Roman" w:eastAsia="宋体" w:cs="宋体"/>
          <w:caps w:val="0"/>
          <w:color w:val="FF0000"/>
          <w:spacing w:val="0"/>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3242280F">
      <w:pPr>
        <w:pStyle w:val="7"/>
        <w:spacing w:line="360" w:lineRule="auto"/>
        <w:jc w:val="left"/>
        <w:rPr>
          <w:rFonts w:hint="eastAsia" w:ascii="Times New Roman" w:hAnsi="Times New Roman" w:eastAsia="宋体" w:cs="宋体"/>
          <w:b/>
          <w:bCs/>
          <w:caps w:val="0"/>
          <w:spacing w:val="0"/>
          <w:sz w:val="28"/>
          <w:szCs w:val="28"/>
          <w:highlight w:val="none"/>
        </w:rPr>
      </w:pPr>
      <w:bookmarkStart w:id="20" w:name="_Toc71191482"/>
      <w:bookmarkStart w:id="21" w:name="_Toc10607"/>
      <w:r>
        <w:rPr>
          <w:rFonts w:hint="eastAsia" w:ascii="Times New Roman" w:hAnsi="Times New Roman" w:eastAsia="宋体" w:cs="宋体"/>
          <w:b/>
          <w:bCs/>
          <w:caps w:val="0"/>
          <w:spacing w:val="0"/>
          <w:highlight w:val="none"/>
        </w:rPr>
        <w:t>附表</w:t>
      </w:r>
      <w:bookmarkEnd w:id="20"/>
      <w:bookmarkEnd w:id="21"/>
    </w:p>
    <w:p w14:paraId="32A2B2F2">
      <w:pPr>
        <w:bidi w:val="0"/>
        <w:spacing w:line="360" w:lineRule="auto"/>
        <w:jc w:val="center"/>
        <w:rPr>
          <w:rFonts w:hint="default" w:ascii="Times New Roman" w:hAnsi="Times New Roman" w:eastAsia="宋体" w:cs="宋体"/>
          <w:caps w:val="0"/>
          <w:spacing w:val="0"/>
          <w:sz w:val="32"/>
          <w:szCs w:val="32"/>
          <w:highlight w:val="none"/>
          <w:lang w:val="en-US" w:eastAsia="zh-CN"/>
        </w:rPr>
      </w:pPr>
      <w:bookmarkStart w:id="22" w:name="_Toc71191483"/>
      <w:r>
        <w:rPr>
          <w:rFonts w:hint="eastAsia" w:ascii="Times New Roman" w:hAnsi="Times New Roman" w:eastAsia="宋体" w:cs="宋体"/>
          <w:caps w:val="0"/>
          <w:spacing w:val="0"/>
          <w:sz w:val="32"/>
          <w:szCs w:val="32"/>
          <w:highlight w:val="none"/>
        </w:rPr>
        <w:t>建设项目污染物排放量汇总表</w:t>
      </w:r>
      <w:bookmarkEnd w:id="22"/>
      <w:r>
        <w:rPr>
          <w:rFonts w:hint="eastAsia" w:ascii="Times New Roman" w:hAnsi="Times New Roman" w:eastAsia="宋体" w:cs="宋体"/>
          <w:caps w:val="0"/>
          <w:highlight w:val="none"/>
          <w:lang w:val="en-US" w:eastAsia="zh-CN"/>
        </w:rPr>
        <w:t xml:space="preserve"> t/a</w:t>
      </w:r>
    </w:p>
    <w:tbl>
      <w:tblPr>
        <w:tblStyle w:val="35"/>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2"/>
        <w:gridCol w:w="1443"/>
        <w:gridCol w:w="1524"/>
        <w:gridCol w:w="1341"/>
        <w:gridCol w:w="1390"/>
        <w:gridCol w:w="1595"/>
        <w:gridCol w:w="1416"/>
        <w:gridCol w:w="1662"/>
        <w:gridCol w:w="1589"/>
      </w:tblGrid>
      <w:tr w14:paraId="17ADC6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3" w:hRule="atLeast"/>
          <w:jc w:val="center"/>
        </w:trPr>
        <w:tc>
          <w:tcPr>
            <w:tcW w:w="1332" w:type="dxa"/>
            <w:tcBorders>
              <w:tl2br w:val="single" w:color="auto" w:sz="4" w:space="0"/>
            </w:tcBorders>
            <w:noWrap w:val="0"/>
            <w:tcMar>
              <w:left w:w="28" w:type="dxa"/>
              <w:right w:w="28" w:type="dxa"/>
            </w:tcMar>
            <w:vAlign w:val="center"/>
          </w:tcPr>
          <w:p w14:paraId="6AAEAECA">
            <w:pPr>
              <w:pStyle w:val="73"/>
              <w:spacing w:beforeLines="0" w:afterLines="0" w:line="240" w:lineRule="auto"/>
              <w:ind w:firstLine="0" w:firstLineChars="0"/>
              <w:jc w:val="right"/>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项目</w:t>
            </w:r>
          </w:p>
          <w:p w14:paraId="1DC74BA9">
            <w:pPr>
              <w:pStyle w:val="73"/>
              <w:spacing w:beforeLines="0" w:afterLines="0" w:line="240" w:lineRule="auto"/>
              <w:ind w:firstLine="0" w:firstLineChars="0"/>
              <w:jc w:val="left"/>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分类</w:t>
            </w:r>
          </w:p>
        </w:tc>
        <w:tc>
          <w:tcPr>
            <w:tcW w:w="1443" w:type="dxa"/>
            <w:noWrap w:val="0"/>
            <w:tcMar>
              <w:left w:w="28" w:type="dxa"/>
              <w:right w:w="28" w:type="dxa"/>
            </w:tcMar>
            <w:vAlign w:val="center"/>
          </w:tcPr>
          <w:p w14:paraId="4A231716">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污染物名称</w:t>
            </w:r>
          </w:p>
        </w:tc>
        <w:tc>
          <w:tcPr>
            <w:tcW w:w="1524" w:type="dxa"/>
            <w:noWrap w:val="0"/>
            <w:tcMar>
              <w:left w:w="28" w:type="dxa"/>
              <w:right w:w="28" w:type="dxa"/>
            </w:tcMar>
            <w:vAlign w:val="center"/>
          </w:tcPr>
          <w:p w14:paraId="07CA2873">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现有工程</w:t>
            </w:r>
          </w:p>
          <w:p w14:paraId="487B4BD7">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排放量（固体废物产生量）</w:t>
            </w:r>
            <w:r>
              <w:rPr>
                <w:rFonts w:hint="eastAsia" w:ascii="Times New Roman" w:hAnsi="Times New Roman" w:eastAsia="宋体" w:cs="宋体"/>
                <w:bCs/>
                <w:caps w:val="0"/>
                <w:snapToGrid w:val="0"/>
                <w:spacing w:val="0"/>
                <w:kern w:val="21"/>
                <w:sz w:val="24"/>
                <w:szCs w:val="24"/>
                <w:highlight w:val="none"/>
              </w:rPr>
              <w:fldChar w:fldCharType="begin"/>
            </w:r>
            <w:r>
              <w:rPr>
                <w:rFonts w:hint="eastAsia" w:ascii="Times New Roman" w:hAnsi="Times New Roman" w:eastAsia="宋体" w:cs="宋体"/>
                <w:bCs/>
                <w:caps w:val="0"/>
                <w:snapToGrid w:val="0"/>
                <w:spacing w:val="0"/>
                <w:kern w:val="21"/>
                <w:sz w:val="24"/>
                <w:szCs w:val="24"/>
                <w:highlight w:val="none"/>
              </w:rPr>
              <w:instrText xml:space="preserve"> = 1 \* GB3 \* MERGEFORMAT </w:instrText>
            </w:r>
            <w:r>
              <w:rPr>
                <w:rFonts w:hint="eastAsia" w:ascii="Times New Roman" w:hAnsi="Times New Roman" w:eastAsia="宋体" w:cs="宋体"/>
                <w:bCs/>
                <w:caps w:val="0"/>
                <w:snapToGrid w:val="0"/>
                <w:spacing w:val="0"/>
                <w:kern w:val="21"/>
                <w:sz w:val="24"/>
                <w:szCs w:val="24"/>
                <w:highlight w:val="none"/>
              </w:rPr>
              <w:fldChar w:fldCharType="separate"/>
            </w:r>
            <w:r>
              <w:rPr>
                <w:rFonts w:hint="eastAsia" w:ascii="Times New Roman" w:hAnsi="Times New Roman" w:eastAsia="宋体" w:cs="宋体"/>
                <w:bCs/>
                <w:caps w:val="0"/>
                <w:spacing w:val="0"/>
                <w:kern w:val="2"/>
                <w:sz w:val="24"/>
                <w:szCs w:val="24"/>
                <w:highlight w:val="none"/>
              </w:rPr>
              <w:t>①</w:t>
            </w:r>
            <w:r>
              <w:rPr>
                <w:rFonts w:hint="eastAsia" w:ascii="Times New Roman" w:hAnsi="Times New Roman" w:eastAsia="宋体" w:cs="宋体"/>
                <w:bCs/>
                <w:caps w:val="0"/>
                <w:snapToGrid w:val="0"/>
                <w:spacing w:val="0"/>
                <w:kern w:val="21"/>
                <w:sz w:val="24"/>
                <w:szCs w:val="24"/>
                <w:highlight w:val="none"/>
              </w:rPr>
              <w:fldChar w:fldCharType="end"/>
            </w:r>
          </w:p>
        </w:tc>
        <w:tc>
          <w:tcPr>
            <w:tcW w:w="1341" w:type="dxa"/>
            <w:noWrap w:val="0"/>
            <w:tcMar>
              <w:left w:w="28" w:type="dxa"/>
              <w:right w:w="28" w:type="dxa"/>
            </w:tcMar>
            <w:vAlign w:val="center"/>
          </w:tcPr>
          <w:p w14:paraId="76FD93AA">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现有工程许可排放量</w:t>
            </w:r>
            <w:r>
              <w:rPr>
                <w:rFonts w:hint="eastAsia" w:ascii="Times New Roman" w:hAnsi="Times New Roman" w:eastAsia="宋体" w:cs="宋体"/>
                <w:bCs/>
                <w:caps w:val="0"/>
                <w:snapToGrid w:val="0"/>
                <w:spacing w:val="0"/>
                <w:kern w:val="21"/>
                <w:sz w:val="24"/>
                <w:szCs w:val="24"/>
                <w:highlight w:val="none"/>
              </w:rPr>
              <w:fldChar w:fldCharType="begin"/>
            </w:r>
            <w:r>
              <w:rPr>
                <w:rFonts w:hint="eastAsia" w:ascii="Times New Roman" w:hAnsi="Times New Roman" w:eastAsia="宋体" w:cs="宋体"/>
                <w:bCs/>
                <w:caps w:val="0"/>
                <w:snapToGrid w:val="0"/>
                <w:spacing w:val="0"/>
                <w:kern w:val="21"/>
                <w:sz w:val="24"/>
                <w:szCs w:val="24"/>
                <w:highlight w:val="none"/>
              </w:rPr>
              <w:instrText xml:space="preserve"> = 2 \* GB3 \* MERGEFORMAT </w:instrText>
            </w:r>
            <w:r>
              <w:rPr>
                <w:rFonts w:hint="eastAsia" w:ascii="Times New Roman" w:hAnsi="Times New Roman" w:eastAsia="宋体" w:cs="宋体"/>
                <w:bCs/>
                <w:caps w:val="0"/>
                <w:snapToGrid w:val="0"/>
                <w:spacing w:val="0"/>
                <w:kern w:val="21"/>
                <w:sz w:val="24"/>
                <w:szCs w:val="24"/>
                <w:highlight w:val="none"/>
              </w:rPr>
              <w:fldChar w:fldCharType="separate"/>
            </w:r>
            <w:r>
              <w:rPr>
                <w:rFonts w:hint="eastAsia" w:ascii="Times New Roman" w:hAnsi="Times New Roman" w:eastAsia="宋体" w:cs="宋体"/>
                <w:bCs/>
                <w:caps w:val="0"/>
                <w:snapToGrid w:val="0"/>
                <w:spacing w:val="0"/>
                <w:kern w:val="21"/>
                <w:sz w:val="24"/>
                <w:szCs w:val="24"/>
                <w:highlight w:val="none"/>
              </w:rPr>
              <w:t>②</w:t>
            </w:r>
            <w:r>
              <w:rPr>
                <w:rFonts w:hint="eastAsia" w:ascii="Times New Roman" w:hAnsi="Times New Roman" w:eastAsia="宋体" w:cs="宋体"/>
                <w:bCs/>
                <w:caps w:val="0"/>
                <w:snapToGrid w:val="0"/>
                <w:spacing w:val="0"/>
                <w:kern w:val="21"/>
                <w:sz w:val="24"/>
                <w:szCs w:val="24"/>
                <w:highlight w:val="none"/>
              </w:rPr>
              <w:fldChar w:fldCharType="end"/>
            </w:r>
          </w:p>
        </w:tc>
        <w:tc>
          <w:tcPr>
            <w:tcW w:w="1390" w:type="dxa"/>
            <w:noWrap w:val="0"/>
            <w:tcMar>
              <w:left w:w="28" w:type="dxa"/>
              <w:right w:w="28" w:type="dxa"/>
            </w:tcMar>
            <w:vAlign w:val="center"/>
          </w:tcPr>
          <w:p w14:paraId="6D5DEFD6">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在建工程排放量（固体废物产生量）</w:t>
            </w:r>
            <w:r>
              <w:rPr>
                <w:rFonts w:hint="eastAsia" w:ascii="Times New Roman" w:hAnsi="Times New Roman" w:eastAsia="宋体" w:cs="宋体"/>
                <w:bCs/>
                <w:caps w:val="0"/>
                <w:snapToGrid w:val="0"/>
                <w:spacing w:val="0"/>
                <w:kern w:val="21"/>
                <w:sz w:val="24"/>
                <w:szCs w:val="24"/>
                <w:highlight w:val="none"/>
              </w:rPr>
              <w:fldChar w:fldCharType="begin"/>
            </w:r>
            <w:r>
              <w:rPr>
                <w:rFonts w:hint="eastAsia" w:ascii="Times New Roman" w:hAnsi="Times New Roman" w:eastAsia="宋体" w:cs="宋体"/>
                <w:bCs/>
                <w:caps w:val="0"/>
                <w:snapToGrid w:val="0"/>
                <w:spacing w:val="0"/>
                <w:kern w:val="21"/>
                <w:sz w:val="24"/>
                <w:szCs w:val="24"/>
                <w:highlight w:val="none"/>
              </w:rPr>
              <w:instrText xml:space="preserve"> = 3 \* GB3 \* MERGEFORMAT </w:instrText>
            </w:r>
            <w:r>
              <w:rPr>
                <w:rFonts w:hint="eastAsia" w:ascii="Times New Roman" w:hAnsi="Times New Roman" w:eastAsia="宋体" w:cs="宋体"/>
                <w:bCs/>
                <w:caps w:val="0"/>
                <w:snapToGrid w:val="0"/>
                <w:spacing w:val="0"/>
                <w:kern w:val="21"/>
                <w:sz w:val="24"/>
                <w:szCs w:val="24"/>
                <w:highlight w:val="none"/>
              </w:rPr>
              <w:fldChar w:fldCharType="separate"/>
            </w:r>
            <w:r>
              <w:rPr>
                <w:rFonts w:hint="eastAsia" w:ascii="Times New Roman" w:hAnsi="Times New Roman" w:eastAsia="宋体" w:cs="宋体"/>
                <w:bCs/>
                <w:caps w:val="0"/>
                <w:spacing w:val="0"/>
                <w:kern w:val="2"/>
                <w:sz w:val="24"/>
                <w:szCs w:val="24"/>
                <w:highlight w:val="none"/>
              </w:rPr>
              <w:t>③</w:t>
            </w:r>
            <w:r>
              <w:rPr>
                <w:rFonts w:hint="eastAsia" w:ascii="Times New Roman" w:hAnsi="Times New Roman" w:eastAsia="宋体" w:cs="宋体"/>
                <w:bCs/>
                <w:caps w:val="0"/>
                <w:snapToGrid w:val="0"/>
                <w:spacing w:val="0"/>
                <w:kern w:val="21"/>
                <w:sz w:val="24"/>
                <w:szCs w:val="24"/>
                <w:highlight w:val="none"/>
              </w:rPr>
              <w:fldChar w:fldCharType="end"/>
            </w:r>
          </w:p>
        </w:tc>
        <w:tc>
          <w:tcPr>
            <w:tcW w:w="1595" w:type="dxa"/>
            <w:noWrap w:val="0"/>
            <w:tcMar>
              <w:left w:w="28" w:type="dxa"/>
              <w:right w:w="28" w:type="dxa"/>
            </w:tcMar>
            <w:vAlign w:val="center"/>
          </w:tcPr>
          <w:p w14:paraId="629D2BCA">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本项目排放量（固体废物产生量）</w:t>
            </w:r>
            <w:r>
              <w:rPr>
                <w:rFonts w:hint="eastAsia" w:ascii="Times New Roman" w:hAnsi="Times New Roman" w:eastAsia="宋体" w:cs="宋体"/>
                <w:bCs/>
                <w:caps w:val="0"/>
                <w:snapToGrid w:val="0"/>
                <w:spacing w:val="0"/>
                <w:kern w:val="21"/>
                <w:sz w:val="24"/>
                <w:szCs w:val="24"/>
                <w:highlight w:val="none"/>
              </w:rPr>
              <w:fldChar w:fldCharType="begin"/>
            </w:r>
            <w:r>
              <w:rPr>
                <w:rFonts w:hint="eastAsia" w:ascii="Times New Roman" w:hAnsi="Times New Roman" w:eastAsia="宋体" w:cs="宋体"/>
                <w:bCs/>
                <w:caps w:val="0"/>
                <w:snapToGrid w:val="0"/>
                <w:spacing w:val="0"/>
                <w:kern w:val="21"/>
                <w:sz w:val="24"/>
                <w:szCs w:val="24"/>
                <w:highlight w:val="none"/>
              </w:rPr>
              <w:instrText xml:space="preserve"> = 4 \* GB3 \* MERGEFORMAT </w:instrText>
            </w:r>
            <w:r>
              <w:rPr>
                <w:rFonts w:hint="eastAsia" w:ascii="Times New Roman" w:hAnsi="Times New Roman" w:eastAsia="宋体" w:cs="宋体"/>
                <w:bCs/>
                <w:caps w:val="0"/>
                <w:snapToGrid w:val="0"/>
                <w:spacing w:val="0"/>
                <w:kern w:val="21"/>
                <w:sz w:val="24"/>
                <w:szCs w:val="24"/>
                <w:highlight w:val="none"/>
              </w:rPr>
              <w:fldChar w:fldCharType="separate"/>
            </w:r>
            <w:r>
              <w:rPr>
                <w:rFonts w:hint="eastAsia" w:ascii="Times New Roman" w:hAnsi="Times New Roman" w:eastAsia="宋体" w:cs="宋体"/>
                <w:bCs/>
                <w:caps w:val="0"/>
                <w:spacing w:val="0"/>
                <w:kern w:val="2"/>
                <w:sz w:val="24"/>
                <w:szCs w:val="24"/>
                <w:highlight w:val="none"/>
              </w:rPr>
              <w:t>④</w:t>
            </w:r>
            <w:r>
              <w:rPr>
                <w:rFonts w:hint="eastAsia" w:ascii="Times New Roman" w:hAnsi="Times New Roman" w:eastAsia="宋体" w:cs="宋体"/>
                <w:bCs/>
                <w:caps w:val="0"/>
                <w:snapToGrid w:val="0"/>
                <w:spacing w:val="0"/>
                <w:kern w:val="21"/>
                <w:sz w:val="24"/>
                <w:szCs w:val="24"/>
                <w:highlight w:val="none"/>
              </w:rPr>
              <w:fldChar w:fldCharType="end"/>
            </w:r>
          </w:p>
        </w:tc>
        <w:tc>
          <w:tcPr>
            <w:tcW w:w="1416" w:type="dxa"/>
            <w:noWrap w:val="0"/>
            <w:tcMar>
              <w:left w:w="28" w:type="dxa"/>
              <w:right w:w="28" w:type="dxa"/>
            </w:tcMar>
            <w:vAlign w:val="center"/>
          </w:tcPr>
          <w:p w14:paraId="23D62A2B">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以新带老削减量（新建项目不填）</w:t>
            </w:r>
            <w:r>
              <w:rPr>
                <w:rFonts w:hint="eastAsia" w:ascii="Times New Roman" w:hAnsi="Times New Roman" w:eastAsia="宋体" w:cs="宋体"/>
                <w:bCs/>
                <w:caps w:val="0"/>
                <w:snapToGrid w:val="0"/>
                <w:spacing w:val="0"/>
                <w:kern w:val="21"/>
                <w:sz w:val="24"/>
                <w:szCs w:val="24"/>
                <w:highlight w:val="none"/>
              </w:rPr>
              <w:fldChar w:fldCharType="begin"/>
            </w:r>
            <w:r>
              <w:rPr>
                <w:rFonts w:hint="eastAsia" w:ascii="Times New Roman" w:hAnsi="Times New Roman" w:eastAsia="宋体" w:cs="宋体"/>
                <w:bCs/>
                <w:caps w:val="0"/>
                <w:snapToGrid w:val="0"/>
                <w:spacing w:val="0"/>
                <w:kern w:val="21"/>
                <w:sz w:val="24"/>
                <w:szCs w:val="24"/>
                <w:highlight w:val="none"/>
              </w:rPr>
              <w:instrText xml:space="preserve"> = 5 \* GB3 \* MERGEFORMAT </w:instrText>
            </w:r>
            <w:r>
              <w:rPr>
                <w:rFonts w:hint="eastAsia" w:ascii="Times New Roman" w:hAnsi="Times New Roman" w:eastAsia="宋体" w:cs="宋体"/>
                <w:bCs/>
                <w:caps w:val="0"/>
                <w:snapToGrid w:val="0"/>
                <w:spacing w:val="0"/>
                <w:kern w:val="21"/>
                <w:sz w:val="24"/>
                <w:szCs w:val="24"/>
                <w:highlight w:val="none"/>
              </w:rPr>
              <w:fldChar w:fldCharType="separate"/>
            </w:r>
            <w:r>
              <w:rPr>
                <w:rFonts w:hint="eastAsia" w:ascii="Times New Roman" w:hAnsi="Times New Roman" w:eastAsia="宋体" w:cs="宋体"/>
                <w:bCs/>
                <w:caps w:val="0"/>
                <w:spacing w:val="0"/>
                <w:kern w:val="2"/>
                <w:sz w:val="24"/>
                <w:szCs w:val="24"/>
                <w:highlight w:val="none"/>
              </w:rPr>
              <w:t>⑤</w:t>
            </w:r>
            <w:r>
              <w:rPr>
                <w:rFonts w:hint="eastAsia" w:ascii="Times New Roman" w:hAnsi="Times New Roman" w:eastAsia="宋体" w:cs="宋体"/>
                <w:bCs/>
                <w:caps w:val="0"/>
                <w:snapToGrid w:val="0"/>
                <w:spacing w:val="0"/>
                <w:kern w:val="21"/>
                <w:sz w:val="24"/>
                <w:szCs w:val="24"/>
                <w:highlight w:val="none"/>
              </w:rPr>
              <w:fldChar w:fldCharType="end"/>
            </w:r>
          </w:p>
        </w:tc>
        <w:tc>
          <w:tcPr>
            <w:tcW w:w="1662" w:type="dxa"/>
            <w:noWrap w:val="0"/>
            <w:tcMar>
              <w:left w:w="28" w:type="dxa"/>
              <w:right w:w="28" w:type="dxa"/>
            </w:tcMar>
            <w:vAlign w:val="center"/>
          </w:tcPr>
          <w:p w14:paraId="1992D465">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本项目建成后全厂排放量（固体废物产生量）</w:t>
            </w:r>
            <w:r>
              <w:rPr>
                <w:rFonts w:hint="eastAsia" w:ascii="Times New Roman" w:hAnsi="Times New Roman" w:eastAsia="宋体" w:cs="宋体"/>
                <w:bCs/>
                <w:caps w:val="0"/>
                <w:snapToGrid w:val="0"/>
                <w:spacing w:val="0"/>
                <w:kern w:val="21"/>
                <w:sz w:val="24"/>
                <w:szCs w:val="24"/>
                <w:highlight w:val="none"/>
              </w:rPr>
              <w:fldChar w:fldCharType="begin"/>
            </w:r>
            <w:r>
              <w:rPr>
                <w:rFonts w:hint="eastAsia" w:ascii="Times New Roman" w:hAnsi="Times New Roman" w:eastAsia="宋体" w:cs="宋体"/>
                <w:bCs/>
                <w:caps w:val="0"/>
                <w:snapToGrid w:val="0"/>
                <w:spacing w:val="0"/>
                <w:kern w:val="21"/>
                <w:sz w:val="24"/>
                <w:szCs w:val="24"/>
                <w:highlight w:val="none"/>
              </w:rPr>
              <w:instrText xml:space="preserve"> = 6 \* GB3 \* MERGEFORMAT </w:instrText>
            </w:r>
            <w:r>
              <w:rPr>
                <w:rFonts w:hint="eastAsia" w:ascii="Times New Roman" w:hAnsi="Times New Roman" w:eastAsia="宋体" w:cs="宋体"/>
                <w:bCs/>
                <w:caps w:val="0"/>
                <w:snapToGrid w:val="0"/>
                <w:spacing w:val="0"/>
                <w:kern w:val="21"/>
                <w:sz w:val="24"/>
                <w:szCs w:val="24"/>
                <w:highlight w:val="none"/>
              </w:rPr>
              <w:fldChar w:fldCharType="separate"/>
            </w:r>
            <w:r>
              <w:rPr>
                <w:rFonts w:hint="eastAsia" w:ascii="Times New Roman" w:hAnsi="Times New Roman" w:eastAsia="宋体" w:cs="宋体"/>
                <w:bCs/>
                <w:caps w:val="0"/>
                <w:spacing w:val="0"/>
                <w:kern w:val="2"/>
                <w:sz w:val="24"/>
                <w:szCs w:val="24"/>
                <w:highlight w:val="none"/>
              </w:rPr>
              <w:t>⑥</w:t>
            </w:r>
            <w:r>
              <w:rPr>
                <w:rFonts w:hint="eastAsia" w:ascii="Times New Roman" w:hAnsi="Times New Roman" w:eastAsia="宋体" w:cs="宋体"/>
                <w:bCs/>
                <w:caps w:val="0"/>
                <w:snapToGrid w:val="0"/>
                <w:spacing w:val="0"/>
                <w:kern w:val="21"/>
                <w:sz w:val="24"/>
                <w:szCs w:val="24"/>
                <w:highlight w:val="none"/>
              </w:rPr>
              <w:fldChar w:fldCharType="end"/>
            </w:r>
          </w:p>
        </w:tc>
        <w:tc>
          <w:tcPr>
            <w:tcW w:w="1589" w:type="dxa"/>
            <w:noWrap w:val="0"/>
            <w:tcMar>
              <w:left w:w="28" w:type="dxa"/>
              <w:right w:w="28" w:type="dxa"/>
            </w:tcMar>
            <w:vAlign w:val="center"/>
          </w:tcPr>
          <w:p w14:paraId="4F7B4834">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变化量</w:t>
            </w:r>
          </w:p>
          <w:p w14:paraId="1CAA4579">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fldChar w:fldCharType="begin"/>
            </w:r>
            <w:r>
              <w:rPr>
                <w:rFonts w:hint="eastAsia" w:ascii="Times New Roman" w:hAnsi="Times New Roman" w:eastAsia="宋体" w:cs="宋体"/>
                <w:bCs/>
                <w:caps w:val="0"/>
                <w:snapToGrid w:val="0"/>
                <w:spacing w:val="0"/>
                <w:kern w:val="21"/>
                <w:sz w:val="24"/>
                <w:szCs w:val="24"/>
                <w:highlight w:val="none"/>
              </w:rPr>
              <w:instrText xml:space="preserve"> = 7 \* GB3 \* MERGEFORMAT </w:instrText>
            </w:r>
            <w:r>
              <w:rPr>
                <w:rFonts w:hint="eastAsia" w:ascii="Times New Roman" w:hAnsi="Times New Roman" w:eastAsia="宋体" w:cs="宋体"/>
                <w:bCs/>
                <w:caps w:val="0"/>
                <w:snapToGrid w:val="0"/>
                <w:spacing w:val="0"/>
                <w:kern w:val="21"/>
                <w:sz w:val="24"/>
                <w:szCs w:val="24"/>
                <w:highlight w:val="none"/>
              </w:rPr>
              <w:fldChar w:fldCharType="separate"/>
            </w:r>
            <w:r>
              <w:rPr>
                <w:rFonts w:hint="eastAsia" w:ascii="Times New Roman" w:hAnsi="Times New Roman" w:eastAsia="宋体" w:cs="宋体"/>
                <w:bCs/>
                <w:caps w:val="0"/>
                <w:spacing w:val="0"/>
                <w:kern w:val="2"/>
                <w:sz w:val="24"/>
                <w:szCs w:val="24"/>
                <w:highlight w:val="none"/>
              </w:rPr>
              <w:t>⑦</w:t>
            </w:r>
            <w:r>
              <w:rPr>
                <w:rFonts w:hint="eastAsia" w:ascii="Times New Roman" w:hAnsi="Times New Roman" w:eastAsia="宋体" w:cs="宋体"/>
                <w:bCs/>
                <w:caps w:val="0"/>
                <w:snapToGrid w:val="0"/>
                <w:spacing w:val="0"/>
                <w:kern w:val="21"/>
                <w:sz w:val="24"/>
                <w:szCs w:val="24"/>
                <w:highlight w:val="none"/>
              </w:rPr>
              <w:fldChar w:fldCharType="end"/>
            </w:r>
          </w:p>
        </w:tc>
      </w:tr>
      <w:tr w14:paraId="04F647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restart"/>
            <w:noWrap w:val="0"/>
            <w:vAlign w:val="center"/>
          </w:tcPr>
          <w:p w14:paraId="428D8650">
            <w:pPr>
              <w:pStyle w:val="70"/>
              <w:rPr>
                <w:rFonts w:hint="eastAsia" w:ascii="Times New Roman" w:hAnsi="Times New Roman" w:eastAsia="宋体" w:cs="宋体"/>
                <w:bCs/>
                <w:caps w:val="0"/>
                <w:snapToGrid w:val="0"/>
                <w:color w:val="auto"/>
                <w:spacing w:val="0"/>
                <w:kern w:val="21"/>
                <w:sz w:val="24"/>
                <w:szCs w:val="24"/>
                <w:highlight w:val="none"/>
              </w:rPr>
            </w:pPr>
            <w:r>
              <w:rPr>
                <w:rFonts w:hint="eastAsia" w:ascii="Times New Roman" w:hAnsi="Times New Roman" w:eastAsia="宋体" w:cs="宋体"/>
                <w:caps w:val="0"/>
                <w:color w:val="auto"/>
                <w:spacing w:val="0"/>
                <w:sz w:val="24"/>
                <w:szCs w:val="24"/>
                <w:highlight w:val="none"/>
                <w:lang w:val="en-US" w:eastAsia="zh-CN"/>
              </w:rPr>
              <w:t>废气</w:t>
            </w:r>
          </w:p>
        </w:tc>
        <w:tc>
          <w:tcPr>
            <w:tcW w:w="1443" w:type="dxa"/>
            <w:noWrap w:val="0"/>
            <w:vAlign w:val="center"/>
          </w:tcPr>
          <w:p w14:paraId="78CE2BF5">
            <w:pPr>
              <w:pStyle w:val="70"/>
              <w:rPr>
                <w:rFonts w:hint="eastAsia" w:ascii="Times New Roman" w:hAnsi="Times New Roman" w:eastAsia="宋体" w:cs="宋体"/>
                <w:caps w:val="0"/>
                <w:color w:val="auto"/>
                <w:spacing w:val="0"/>
                <w:kern w:val="2"/>
                <w:sz w:val="24"/>
                <w:szCs w:val="24"/>
                <w:highlight w:val="none"/>
                <w:lang w:val="en-US" w:eastAsia="zh-CN" w:bidi="ar-SA"/>
              </w:rPr>
            </w:pPr>
            <w:r>
              <w:rPr>
                <w:rFonts w:hint="eastAsia" w:ascii="Times New Roman" w:hAnsi="Times New Roman" w:eastAsia="宋体" w:cs="宋体"/>
                <w:caps w:val="0"/>
                <w:color w:val="auto"/>
                <w:spacing w:val="0"/>
                <w:sz w:val="24"/>
                <w:szCs w:val="24"/>
                <w:highlight w:val="none"/>
                <w:lang w:val="en-US" w:eastAsia="zh-CN"/>
              </w:rPr>
              <w:t>二氧化硫</w:t>
            </w:r>
          </w:p>
        </w:tc>
        <w:tc>
          <w:tcPr>
            <w:tcW w:w="1524" w:type="dxa"/>
            <w:noWrap w:val="0"/>
            <w:vAlign w:val="center"/>
          </w:tcPr>
          <w:p w14:paraId="43DE89B1">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default" w:ascii="Times New Roman" w:hAnsi="Times New Roman" w:eastAsia="宋体" w:cs="宋体"/>
                <w:bCs w:val="0"/>
                <w:caps w:val="0"/>
                <w:color w:val="000000"/>
                <w:spacing w:val="0"/>
                <w:kern w:val="2"/>
                <w:sz w:val="24"/>
                <w:szCs w:val="24"/>
                <w:highlight w:val="none"/>
                <w:lang w:val="en-US" w:eastAsia="zh-CN" w:bidi="ar-SA"/>
              </w:rPr>
              <w:t>2</w:t>
            </w:r>
            <w:r>
              <w:rPr>
                <w:rFonts w:hint="eastAsia" w:ascii="Times New Roman" w:hAnsi="Times New Roman" w:eastAsia="宋体" w:cs="宋体"/>
                <w:bCs w:val="0"/>
                <w:caps w:val="0"/>
                <w:color w:val="000000"/>
                <w:spacing w:val="0"/>
                <w:kern w:val="2"/>
                <w:sz w:val="24"/>
                <w:szCs w:val="24"/>
                <w:highlight w:val="none"/>
                <w:lang w:val="en-US" w:eastAsia="zh-CN" w:bidi="ar-SA"/>
              </w:rPr>
              <w:t>.</w:t>
            </w:r>
            <w:r>
              <w:rPr>
                <w:rFonts w:hint="default" w:ascii="Times New Roman" w:hAnsi="Times New Roman" w:eastAsia="宋体" w:cs="宋体"/>
                <w:bCs w:val="0"/>
                <w:caps w:val="0"/>
                <w:color w:val="000000"/>
                <w:spacing w:val="0"/>
                <w:kern w:val="2"/>
                <w:sz w:val="24"/>
                <w:szCs w:val="24"/>
                <w:highlight w:val="none"/>
                <w:lang w:val="en-US" w:eastAsia="zh-CN" w:bidi="ar-SA"/>
              </w:rPr>
              <w:t>194379</w:t>
            </w:r>
          </w:p>
        </w:tc>
        <w:tc>
          <w:tcPr>
            <w:tcW w:w="1341" w:type="dxa"/>
            <w:noWrap w:val="0"/>
            <w:vAlign w:val="center"/>
          </w:tcPr>
          <w:p w14:paraId="383C4563">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90" w:type="dxa"/>
            <w:noWrap w:val="0"/>
            <w:vAlign w:val="center"/>
          </w:tcPr>
          <w:p w14:paraId="710D3522">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95" w:type="dxa"/>
            <w:noWrap w:val="0"/>
            <w:vAlign w:val="center"/>
          </w:tcPr>
          <w:p w14:paraId="231E87F7">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0.00791</w:t>
            </w:r>
          </w:p>
        </w:tc>
        <w:tc>
          <w:tcPr>
            <w:tcW w:w="1416" w:type="dxa"/>
            <w:noWrap w:val="0"/>
            <w:vAlign w:val="center"/>
          </w:tcPr>
          <w:p w14:paraId="1680BE2A">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2.194379</w:t>
            </w:r>
          </w:p>
        </w:tc>
        <w:tc>
          <w:tcPr>
            <w:tcW w:w="1662" w:type="dxa"/>
            <w:noWrap w:val="0"/>
            <w:vAlign w:val="center"/>
          </w:tcPr>
          <w:p w14:paraId="54965F31">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0.00791</w:t>
            </w:r>
          </w:p>
        </w:tc>
        <w:tc>
          <w:tcPr>
            <w:tcW w:w="1589" w:type="dxa"/>
            <w:noWrap w:val="0"/>
            <w:vAlign w:val="center"/>
          </w:tcPr>
          <w:p w14:paraId="41371B64">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-2.186469</w:t>
            </w:r>
          </w:p>
        </w:tc>
      </w:tr>
      <w:tr w14:paraId="2AF6ED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0CBDFDB7">
            <w:pPr>
              <w:pStyle w:val="70"/>
              <w:rPr>
                <w:rFonts w:hint="eastAsia" w:ascii="Times New Roman" w:hAnsi="Times New Roman" w:eastAsia="宋体" w:cs="宋体"/>
                <w:caps w:val="0"/>
                <w:color w:val="auto"/>
                <w:spacing w:val="0"/>
                <w:sz w:val="24"/>
                <w:szCs w:val="24"/>
                <w:highlight w:val="none"/>
                <w:lang w:val="en-US" w:eastAsia="zh-CN"/>
              </w:rPr>
            </w:pPr>
          </w:p>
        </w:tc>
        <w:tc>
          <w:tcPr>
            <w:tcW w:w="1443" w:type="dxa"/>
            <w:noWrap w:val="0"/>
            <w:vAlign w:val="center"/>
          </w:tcPr>
          <w:p w14:paraId="6E598E05">
            <w:pPr>
              <w:pStyle w:val="70"/>
              <w:rPr>
                <w:rFonts w:hint="eastAsia"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氮氧化物</w:t>
            </w:r>
          </w:p>
        </w:tc>
        <w:tc>
          <w:tcPr>
            <w:tcW w:w="1524" w:type="dxa"/>
            <w:noWrap w:val="0"/>
            <w:vAlign w:val="center"/>
          </w:tcPr>
          <w:p w14:paraId="263634C9">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2.7058</w:t>
            </w:r>
          </w:p>
        </w:tc>
        <w:tc>
          <w:tcPr>
            <w:tcW w:w="1341" w:type="dxa"/>
            <w:noWrap w:val="0"/>
            <w:vAlign w:val="center"/>
          </w:tcPr>
          <w:p w14:paraId="4C5D4C09">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90" w:type="dxa"/>
            <w:noWrap w:val="0"/>
            <w:vAlign w:val="center"/>
          </w:tcPr>
          <w:p w14:paraId="5F1CAFB6">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95" w:type="dxa"/>
            <w:noWrap w:val="0"/>
            <w:vAlign w:val="center"/>
          </w:tcPr>
          <w:p w14:paraId="5584F4B9">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1.058</w:t>
            </w:r>
          </w:p>
        </w:tc>
        <w:tc>
          <w:tcPr>
            <w:tcW w:w="1416" w:type="dxa"/>
            <w:noWrap w:val="0"/>
            <w:vAlign w:val="center"/>
          </w:tcPr>
          <w:p w14:paraId="2D6020A6">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2.7058</w:t>
            </w:r>
          </w:p>
        </w:tc>
        <w:tc>
          <w:tcPr>
            <w:tcW w:w="1662" w:type="dxa"/>
            <w:noWrap w:val="0"/>
            <w:vAlign w:val="center"/>
          </w:tcPr>
          <w:p w14:paraId="1F5C4AA8">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1.058</w:t>
            </w:r>
          </w:p>
        </w:tc>
        <w:tc>
          <w:tcPr>
            <w:tcW w:w="1589" w:type="dxa"/>
            <w:noWrap w:val="0"/>
            <w:vAlign w:val="center"/>
          </w:tcPr>
          <w:p w14:paraId="2023CDEF">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-1.6478</w:t>
            </w:r>
          </w:p>
        </w:tc>
      </w:tr>
      <w:tr w14:paraId="467CBA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60C6001A">
            <w:pPr>
              <w:pStyle w:val="70"/>
              <w:rPr>
                <w:rFonts w:hint="eastAsia" w:ascii="Times New Roman" w:hAnsi="Times New Roman" w:eastAsia="宋体" w:cs="宋体"/>
                <w:caps w:val="0"/>
                <w:color w:val="auto"/>
                <w:spacing w:val="0"/>
                <w:sz w:val="24"/>
                <w:szCs w:val="24"/>
                <w:highlight w:val="none"/>
                <w:lang w:val="en-US" w:eastAsia="zh-CN"/>
              </w:rPr>
            </w:pPr>
          </w:p>
        </w:tc>
        <w:tc>
          <w:tcPr>
            <w:tcW w:w="1443" w:type="dxa"/>
            <w:noWrap w:val="0"/>
            <w:vAlign w:val="center"/>
          </w:tcPr>
          <w:p w14:paraId="4100E2C2">
            <w:pPr>
              <w:pStyle w:val="70"/>
              <w:rPr>
                <w:rFonts w:hint="eastAsia"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颗粒物</w:t>
            </w:r>
          </w:p>
        </w:tc>
        <w:tc>
          <w:tcPr>
            <w:tcW w:w="1524" w:type="dxa"/>
            <w:noWrap w:val="0"/>
            <w:vAlign w:val="center"/>
          </w:tcPr>
          <w:p w14:paraId="0AECF394">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0.5813（0.3394筛分）</w:t>
            </w:r>
          </w:p>
        </w:tc>
        <w:tc>
          <w:tcPr>
            <w:tcW w:w="1341" w:type="dxa"/>
            <w:noWrap w:val="0"/>
            <w:vAlign w:val="center"/>
          </w:tcPr>
          <w:p w14:paraId="3509BFE5">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90" w:type="dxa"/>
            <w:noWrap w:val="0"/>
            <w:vAlign w:val="center"/>
          </w:tcPr>
          <w:p w14:paraId="49FB7585">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95" w:type="dxa"/>
            <w:noWrap w:val="0"/>
            <w:vAlign w:val="center"/>
          </w:tcPr>
          <w:p w14:paraId="02C214C3">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0.000433</w:t>
            </w:r>
          </w:p>
        </w:tc>
        <w:tc>
          <w:tcPr>
            <w:tcW w:w="1416" w:type="dxa"/>
            <w:noWrap w:val="0"/>
            <w:vAlign w:val="center"/>
          </w:tcPr>
          <w:p w14:paraId="4B9C0E80">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0.2419</w:t>
            </w:r>
          </w:p>
        </w:tc>
        <w:tc>
          <w:tcPr>
            <w:tcW w:w="1662" w:type="dxa"/>
            <w:noWrap w:val="0"/>
            <w:vAlign w:val="center"/>
          </w:tcPr>
          <w:p w14:paraId="5FB27835">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0.339833</w:t>
            </w:r>
          </w:p>
        </w:tc>
        <w:tc>
          <w:tcPr>
            <w:tcW w:w="1589" w:type="dxa"/>
            <w:noWrap w:val="0"/>
            <w:vAlign w:val="center"/>
          </w:tcPr>
          <w:p w14:paraId="18934C38">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-0.240818</w:t>
            </w:r>
          </w:p>
        </w:tc>
      </w:tr>
      <w:tr w14:paraId="64C312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102C4577">
            <w:pPr>
              <w:pStyle w:val="70"/>
              <w:rPr>
                <w:rFonts w:hint="eastAsia" w:ascii="Times New Roman" w:hAnsi="Times New Roman" w:eastAsia="宋体" w:cs="宋体"/>
                <w:caps w:val="0"/>
                <w:color w:val="auto"/>
                <w:spacing w:val="0"/>
                <w:sz w:val="24"/>
                <w:szCs w:val="24"/>
                <w:highlight w:val="none"/>
                <w:lang w:val="en-US" w:eastAsia="zh-CN"/>
              </w:rPr>
            </w:pPr>
          </w:p>
        </w:tc>
        <w:tc>
          <w:tcPr>
            <w:tcW w:w="1443" w:type="dxa"/>
            <w:noWrap w:val="0"/>
            <w:vAlign w:val="center"/>
          </w:tcPr>
          <w:p w14:paraId="30C3C3D8">
            <w:pPr>
              <w:pStyle w:val="70"/>
              <w:rPr>
                <w:rFonts w:hint="default" w:ascii="Times New Roman" w:hAnsi="Times New Roman" w:eastAsia="宋体" w:cs="宋体"/>
                <w:caps w:val="0"/>
                <w:color w:val="auto"/>
                <w:spacing w:val="0"/>
                <w:sz w:val="24"/>
                <w:szCs w:val="24"/>
                <w:highlight w:val="none"/>
                <w:lang w:val="en-US" w:eastAsia="zh-CN"/>
              </w:rPr>
            </w:pPr>
            <w:r>
              <w:rPr>
                <w:rFonts w:hint="eastAsia" w:ascii="Times New Roman" w:hAnsi="Times New Roman" w:eastAsia="宋体" w:cs="宋体"/>
                <w:caps w:val="0"/>
                <w:color w:val="auto"/>
                <w:spacing w:val="0"/>
                <w:sz w:val="24"/>
                <w:szCs w:val="24"/>
                <w:highlight w:val="none"/>
                <w:lang w:val="en-US" w:eastAsia="zh-CN"/>
              </w:rPr>
              <w:t>汞及其化合物</w:t>
            </w:r>
          </w:p>
        </w:tc>
        <w:tc>
          <w:tcPr>
            <w:tcW w:w="1524" w:type="dxa"/>
            <w:noWrap w:val="0"/>
            <w:vAlign w:val="center"/>
          </w:tcPr>
          <w:p w14:paraId="5708A2E1">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0.000015</w:t>
            </w:r>
          </w:p>
        </w:tc>
        <w:tc>
          <w:tcPr>
            <w:tcW w:w="1341" w:type="dxa"/>
            <w:noWrap w:val="0"/>
            <w:vAlign w:val="center"/>
          </w:tcPr>
          <w:p w14:paraId="1EC8BDA9">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90" w:type="dxa"/>
            <w:noWrap w:val="0"/>
            <w:vAlign w:val="center"/>
          </w:tcPr>
          <w:p w14:paraId="5E99A339">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95" w:type="dxa"/>
            <w:noWrap w:val="0"/>
            <w:vAlign w:val="center"/>
          </w:tcPr>
          <w:p w14:paraId="2B7784F2">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416" w:type="dxa"/>
            <w:noWrap w:val="0"/>
            <w:vAlign w:val="center"/>
          </w:tcPr>
          <w:p w14:paraId="214D96A2">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0.000015</w:t>
            </w:r>
          </w:p>
        </w:tc>
        <w:tc>
          <w:tcPr>
            <w:tcW w:w="1662" w:type="dxa"/>
            <w:noWrap w:val="0"/>
            <w:vAlign w:val="center"/>
          </w:tcPr>
          <w:p w14:paraId="4BA6A4C2">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89" w:type="dxa"/>
            <w:noWrap w:val="0"/>
            <w:vAlign w:val="center"/>
          </w:tcPr>
          <w:p w14:paraId="4A4E1BC1">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-0.000015</w:t>
            </w:r>
          </w:p>
        </w:tc>
      </w:tr>
      <w:tr w14:paraId="43B4BE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40804142">
            <w:pPr>
              <w:pStyle w:val="70"/>
              <w:rPr>
                <w:rFonts w:hint="eastAsia" w:ascii="Times New Roman" w:hAnsi="Times New Roman" w:eastAsia="宋体" w:cs="宋体"/>
                <w:caps w:val="0"/>
                <w:color w:val="auto"/>
                <w:spacing w:val="0"/>
                <w:sz w:val="24"/>
                <w:szCs w:val="24"/>
                <w:highlight w:val="none"/>
                <w:lang w:val="en-US" w:eastAsia="zh-CN"/>
              </w:rPr>
            </w:pPr>
          </w:p>
        </w:tc>
        <w:tc>
          <w:tcPr>
            <w:tcW w:w="1443" w:type="dxa"/>
            <w:noWrap w:val="0"/>
            <w:vAlign w:val="center"/>
          </w:tcPr>
          <w:p w14:paraId="4A27AB82">
            <w:pPr>
              <w:pStyle w:val="70"/>
              <w:rPr>
                <w:rFonts w:hint="default" w:ascii="Times New Roman" w:hAnsi="Times New Roman" w:eastAsia="宋体" w:cs="宋体"/>
                <w:caps w:val="0"/>
                <w:color w:val="auto"/>
                <w:spacing w:val="0"/>
                <w:sz w:val="24"/>
                <w:szCs w:val="24"/>
                <w:highlight w:val="none"/>
                <w:lang w:val="en-US" w:eastAsia="zh-CN"/>
              </w:rPr>
            </w:pPr>
            <w:r>
              <w:rPr>
                <w:rFonts w:hint="eastAsia" w:cs="宋体"/>
                <w:caps w:val="0"/>
                <w:color w:val="auto"/>
                <w:spacing w:val="0"/>
                <w:sz w:val="24"/>
                <w:szCs w:val="24"/>
                <w:highlight w:val="none"/>
                <w:lang w:val="en-US" w:eastAsia="zh-CN"/>
              </w:rPr>
              <w:t>非甲烷总烃</w:t>
            </w:r>
          </w:p>
        </w:tc>
        <w:tc>
          <w:tcPr>
            <w:tcW w:w="1524" w:type="dxa"/>
            <w:noWrap w:val="0"/>
            <w:vAlign w:val="center"/>
          </w:tcPr>
          <w:p w14:paraId="4EB49643">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cs="宋体"/>
                <w:bCs w:val="0"/>
                <w:caps w:val="0"/>
                <w:color w:val="000000"/>
                <w:spacing w:val="0"/>
                <w:kern w:val="2"/>
                <w:sz w:val="24"/>
                <w:szCs w:val="24"/>
                <w:highlight w:val="none"/>
                <w:lang w:val="en-US" w:eastAsia="zh-CN" w:bidi="ar-SA"/>
              </w:rPr>
              <w:t>/</w:t>
            </w:r>
          </w:p>
        </w:tc>
        <w:tc>
          <w:tcPr>
            <w:tcW w:w="1341" w:type="dxa"/>
            <w:noWrap w:val="0"/>
            <w:vAlign w:val="center"/>
          </w:tcPr>
          <w:p w14:paraId="2A9CEC28">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cs="宋体"/>
                <w:bCs w:val="0"/>
                <w:caps w:val="0"/>
                <w:color w:val="000000"/>
                <w:spacing w:val="0"/>
                <w:kern w:val="2"/>
                <w:sz w:val="24"/>
                <w:szCs w:val="24"/>
                <w:highlight w:val="none"/>
                <w:lang w:val="en-US" w:eastAsia="zh-CN" w:bidi="ar-SA"/>
              </w:rPr>
              <w:t>/</w:t>
            </w:r>
          </w:p>
        </w:tc>
        <w:tc>
          <w:tcPr>
            <w:tcW w:w="1390" w:type="dxa"/>
            <w:noWrap w:val="0"/>
            <w:vAlign w:val="center"/>
          </w:tcPr>
          <w:p w14:paraId="0710678F">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cs="宋体"/>
                <w:bCs w:val="0"/>
                <w:caps w:val="0"/>
                <w:color w:val="000000"/>
                <w:spacing w:val="0"/>
                <w:kern w:val="2"/>
                <w:sz w:val="24"/>
                <w:szCs w:val="24"/>
                <w:highlight w:val="none"/>
                <w:lang w:val="en-US" w:eastAsia="zh-CN" w:bidi="ar-SA"/>
              </w:rPr>
              <w:t>/</w:t>
            </w:r>
          </w:p>
        </w:tc>
        <w:tc>
          <w:tcPr>
            <w:tcW w:w="1595" w:type="dxa"/>
            <w:noWrap w:val="0"/>
            <w:vAlign w:val="center"/>
          </w:tcPr>
          <w:p w14:paraId="754701FC">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cs="宋体"/>
                <w:bCs w:val="0"/>
                <w:caps w:val="0"/>
                <w:color w:val="000000"/>
                <w:spacing w:val="0"/>
                <w:kern w:val="2"/>
                <w:sz w:val="24"/>
                <w:szCs w:val="24"/>
                <w:highlight w:val="none"/>
                <w:lang w:val="en-US" w:eastAsia="zh-CN" w:bidi="ar-SA"/>
              </w:rPr>
              <w:t>0.251</w:t>
            </w:r>
          </w:p>
        </w:tc>
        <w:tc>
          <w:tcPr>
            <w:tcW w:w="1416" w:type="dxa"/>
            <w:noWrap w:val="0"/>
            <w:vAlign w:val="center"/>
          </w:tcPr>
          <w:p w14:paraId="3BD4C9F5">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cs="宋体"/>
                <w:bCs w:val="0"/>
                <w:caps w:val="0"/>
                <w:color w:val="000000"/>
                <w:spacing w:val="0"/>
                <w:kern w:val="2"/>
                <w:sz w:val="24"/>
                <w:szCs w:val="24"/>
                <w:highlight w:val="none"/>
                <w:lang w:val="en-US" w:eastAsia="zh-CN" w:bidi="ar-SA"/>
              </w:rPr>
              <w:t>/</w:t>
            </w:r>
          </w:p>
        </w:tc>
        <w:tc>
          <w:tcPr>
            <w:tcW w:w="1662" w:type="dxa"/>
            <w:noWrap w:val="0"/>
            <w:vAlign w:val="center"/>
          </w:tcPr>
          <w:p w14:paraId="43DCF9DA">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cs="宋体"/>
                <w:bCs w:val="0"/>
                <w:caps w:val="0"/>
                <w:color w:val="000000"/>
                <w:spacing w:val="0"/>
                <w:kern w:val="2"/>
                <w:sz w:val="24"/>
                <w:szCs w:val="24"/>
                <w:highlight w:val="none"/>
                <w:lang w:val="en-US" w:eastAsia="zh-CN" w:bidi="ar-SA"/>
              </w:rPr>
              <w:t>/</w:t>
            </w:r>
          </w:p>
        </w:tc>
        <w:tc>
          <w:tcPr>
            <w:tcW w:w="1589" w:type="dxa"/>
            <w:noWrap w:val="0"/>
            <w:vAlign w:val="center"/>
          </w:tcPr>
          <w:p w14:paraId="100A70C5">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cs="宋体"/>
                <w:bCs w:val="0"/>
                <w:caps w:val="0"/>
                <w:color w:val="000000"/>
                <w:spacing w:val="0"/>
                <w:kern w:val="2"/>
                <w:sz w:val="24"/>
                <w:szCs w:val="24"/>
                <w:highlight w:val="none"/>
                <w:lang w:val="en-US" w:eastAsia="zh-CN" w:bidi="ar-SA"/>
              </w:rPr>
              <w:t>0.251</w:t>
            </w:r>
          </w:p>
        </w:tc>
      </w:tr>
      <w:tr w14:paraId="51338E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restart"/>
            <w:noWrap w:val="0"/>
            <w:vAlign w:val="center"/>
          </w:tcPr>
          <w:p w14:paraId="475A9A68">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一般工业</w:t>
            </w:r>
          </w:p>
          <w:p w14:paraId="61825A53">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r>
              <w:rPr>
                <w:rFonts w:hint="eastAsia" w:ascii="Times New Roman" w:hAnsi="Times New Roman" w:eastAsia="宋体" w:cs="宋体"/>
                <w:bCs/>
                <w:caps w:val="0"/>
                <w:snapToGrid w:val="0"/>
                <w:spacing w:val="0"/>
                <w:kern w:val="21"/>
                <w:sz w:val="24"/>
                <w:szCs w:val="24"/>
                <w:highlight w:val="none"/>
              </w:rPr>
              <w:t>固体废物</w:t>
            </w:r>
          </w:p>
        </w:tc>
        <w:tc>
          <w:tcPr>
            <w:tcW w:w="1443" w:type="dxa"/>
            <w:noWrap w:val="0"/>
            <w:vAlign w:val="center"/>
          </w:tcPr>
          <w:p w14:paraId="6F0D9693">
            <w:pPr>
              <w:pStyle w:val="70"/>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废布袋</w:t>
            </w:r>
          </w:p>
        </w:tc>
        <w:tc>
          <w:tcPr>
            <w:tcW w:w="1524" w:type="dxa"/>
            <w:noWrap w:val="0"/>
            <w:vAlign w:val="center"/>
          </w:tcPr>
          <w:p w14:paraId="63B460C5">
            <w:pPr>
              <w:pStyle w:val="73"/>
              <w:spacing w:beforeLines="0" w:afterLines="0" w:line="240" w:lineRule="auto"/>
              <w:ind w:firstLine="0" w:firstLineChars="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41" w:type="dxa"/>
            <w:noWrap w:val="0"/>
            <w:vAlign w:val="center"/>
          </w:tcPr>
          <w:p w14:paraId="63EC18E1">
            <w:pPr>
              <w:pStyle w:val="73"/>
              <w:spacing w:beforeLines="0" w:afterLines="0" w:line="240" w:lineRule="auto"/>
              <w:ind w:firstLine="0" w:firstLineChars="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90" w:type="dxa"/>
            <w:noWrap w:val="0"/>
            <w:vAlign w:val="center"/>
          </w:tcPr>
          <w:p w14:paraId="12B09134">
            <w:pPr>
              <w:pStyle w:val="73"/>
              <w:spacing w:beforeLines="0" w:afterLines="0" w:line="240" w:lineRule="auto"/>
              <w:ind w:firstLine="0" w:firstLineChars="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95" w:type="dxa"/>
            <w:noWrap w:val="0"/>
            <w:vAlign w:val="center"/>
          </w:tcPr>
          <w:p w14:paraId="3C4BE257">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0.2t/a</w:t>
            </w:r>
          </w:p>
        </w:tc>
        <w:tc>
          <w:tcPr>
            <w:tcW w:w="1416" w:type="dxa"/>
            <w:noWrap w:val="0"/>
            <w:vAlign w:val="center"/>
          </w:tcPr>
          <w:p w14:paraId="5C8987EC">
            <w:pPr>
              <w:pStyle w:val="73"/>
              <w:spacing w:beforeLines="0" w:afterLines="0" w:line="240" w:lineRule="auto"/>
              <w:ind w:firstLine="0" w:firstLineChars="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662" w:type="dxa"/>
            <w:noWrap w:val="0"/>
            <w:vAlign w:val="center"/>
          </w:tcPr>
          <w:p w14:paraId="79327C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0.2</w:t>
            </w:r>
          </w:p>
        </w:tc>
        <w:tc>
          <w:tcPr>
            <w:tcW w:w="1589" w:type="dxa"/>
            <w:noWrap w:val="0"/>
            <w:vAlign w:val="center"/>
          </w:tcPr>
          <w:p w14:paraId="7D8B2C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0.2t/a</w:t>
            </w:r>
          </w:p>
        </w:tc>
      </w:tr>
      <w:tr w14:paraId="7D3077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7604C124">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p>
        </w:tc>
        <w:tc>
          <w:tcPr>
            <w:tcW w:w="1443" w:type="dxa"/>
            <w:noWrap w:val="0"/>
            <w:vAlign w:val="center"/>
          </w:tcPr>
          <w:p w14:paraId="71534A79">
            <w:pPr>
              <w:pStyle w:val="70"/>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布袋除尘器收集的粉尘</w:t>
            </w:r>
          </w:p>
        </w:tc>
        <w:tc>
          <w:tcPr>
            <w:tcW w:w="1524" w:type="dxa"/>
            <w:noWrap w:val="0"/>
            <w:vAlign w:val="center"/>
          </w:tcPr>
          <w:p w14:paraId="3F2C591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32.259</w:t>
            </w:r>
          </w:p>
        </w:tc>
        <w:tc>
          <w:tcPr>
            <w:tcW w:w="1341" w:type="dxa"/>
            <w:noWrap w:val="0"/>
            <w:vAlign w:val="center"/>
          </w:tcPr>
          <w:p w14:paraId="23FC2DD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90" w:type="dxa"/>
            <w:noWrap w:val="0"/>
            <w:vAlign w:val="center"/>
          </w:tcPr>
          <w:p w14:paraId="7AF7804D">
            <w:pPr>
              <w:spacing w:beforeLines="0" w:afterLines="0" w:line="240" w:lineRule="auto"/>
              <w:ind w:firstLine="480" w:firstLineChars="20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95" w:type="dxa"/>
            <w:noWrap w:val="0"/>
            <w:vAlign w:val="center"/>
          </w:tcPr>
          <w:p w14:paraId="62A55449">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0.107767</w:t>
            </w:r>
          </w:p>
        </w:tc>
        <w:tc>
          <w:tcPr>
            <w:tcW w:w="1416" w:type="dxa"/>
            <w:noWrap w:val="0"/>
            <w:vAlign w:val="center"/>
          </w:tcPr>
          <w:p w14:paraId="47AF39A2">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32.259</w:t>
            </w:r>
          </w:p>
        </w:tc>
        <w:tc>
          <w:tcPr>
            <w:tcW w:w="1662" w:type="dxa"/>
            <w:noWrap w:val="0"/>
            <w:vAlign w:val="center"/>
          </w:tcPr>
          <w:p w14:paraId="301C3F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0.107767</w:t>
            </w:r>
          </w:p>
        </w:tc>
        <w:tc>
          <w:tcPr>
            <w:tcW w:w="1589" w:type="dxa"/>
            <w:noWrap w:val="0"/>
            <w:vAlign w:val="center"/>
          </w:tcPr>
          <w:p w14:paraId="3C836B9C">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32.151233</w:t>
            </w:r>
          </w:p>
        </w:tc>
      </w:tr>
      <w:tr w14:paraId="0CA0AA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51432337">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p>
        </w:tc>
        <w:tc>
          <w:tcPr>
            <w:tcW w:w="1443" w:type="dxa"/>
            <w:noWrap w:val="0"/>
            <w:vAlign w:val="center"/>
          </w:tcPr>
          <w:p w14:paraId="6A0EB85A">
            <w:pPr>
              <w:pStyle w:val="70"/>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锅炉灰渣</w:t>
            </w:r>
          </w:p>
        </w:tc>
        <w:tc>
          <w:tcPr>
            <w:tcW w:w="1524" w:type="dxa"/>
            <w:noWrap w:val="0"/>
            <w:vAlign w:val="center"/>
          </w:tcPr>
          <w:p w14:paraId="709B97E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210</w:t>
            </w:r>
          </w:p>
        </w:tc>
        <w:tc>
          <w:tcPr>
            <w:tcW w:w="1341" w:type="dxa"/>
            <w:noWrap w:val="0"/>
            <w:vAlign w:val="center"/>
          </w:tcPr>
          <w:p w14:paraId="387CBDD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90" w:type="dxa"/>
            <w:noWrap w:val="0"/>
            <w:vAlign w:val="center"/>
          </w:tcPr>
          <w:p w14:paraId="142BFF2F">
            <w:pPr>
              <w:spacing w:beforeLines="0" w:afterLines="0" w:line="240" w:lineRule="auto"/>
              <w:ind w:firstLine="480" w:firstLineChars="20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95" w:type="dxa"/>
            <w:noWrap w:val="0"/>
            <w:vAlign w:val="center"/>
          </w:tcPr>
          <w:p w14:paraId="4A324869">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416" w:type="dxa"/>
            <w:noWrap w:val="0"/>
            <w:vAlign w:val="center"/>
          </w:tcPr>
          <w:p w14:paraId="56618D47">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210</w:t>
            </w:r>
          </w:p>
        </w:tc>
        <w:tc>
          <w:tcPr>
            <w:tcW w:w="1662" w:type="dxa"/>
            <w:noWrap w:val="0"/>
            <w:vAlign w:val="center"/>
          </w:tcPr>
          <w:p w14:paraId="29F9C2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89" w:type="dxa"/>
            <w:noWrap w:val="0"/>
            <w:vAlign w:val="center"/>
          </w:tcPr>
          <w:p w14:paraId="1EE41460">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-210</w:t>
            </w:r>
          </w:p>
        </w:tc>
      </w:tr>
      <w:tr w14:paraId="027879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52AC7F1B">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p>
        </w:tc>
        <w:tc>
          <w:tcPr>
            <w:tcW w:w="1443" w:type="dxa"/>
            <w:noWrap w:val="0"/>
            <w:vAlign w:val="center"/>
          </w:tcPr>
          <w:p w14:paraId="7D742DB8">
            <w:pPr>
              <w:pStyle w:val="70"/>
              <w:rPr>
                <w:rFonts w:hint="default" w:ascii="Times New Roman" w:hAnsi="Times New Roman" w:eastAsia="宋体" w:cs="宋体"/>
                <w:caps w:val="0"/>
                <w:spacing w:val="0"/>
                <w:sz w:val="24"/>
                <w:szCs w:val="24"/>
                <w:highlight w:val="none"/>
                <w:lang w:val="en-US" w:eastAsia="zh-CN"/>
              </w:rPr>
            </w:pPr>
            <w:r>
              <w:rPr>
                <w:rFonts w:hint="eastAsia" w:cs="宋体"/>
                <w:caps w:val="0"/>
                <w:spacing w:val="0"/>
                <w:sz w:val="24"/>
                <w:szCs w:val="24"/>
                <w:highlight w:val="none"/>
                <w:lang w:val="en-US" w:eastAsia="zh-CN"/>
              </w:rPr>
              <w:t>废燃烧器</w:t>
            </w:r>
          </w:p>
        </w:tc>
        <w:tc>
          <w:tcPr>
            <w:tcW w:w="1524" w:type="dxa"/>
            <w:noWrap w:val="0"/>
            <w:vAlign w:val="center"/>
          </w:tcPr>
          <w:p w14:paraId="27FBFE9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cs="宋体"/>
                <w:bCs w:val="0"/>
                <w:caps w:val="0"/>
                <w:color w:val="000000"/>
                <w:spacing w:val="0"/>
                <w:kern w:val="2"/>
                <w:sz w:val="24"/>
                <w:szCs w:val="24"/>
                <w:highlight w:val="none"/>
                <w:lang w:val="en-US" w:eastAsia="zh-CN" w:bidi="ar-SA"/>
              </w:rPr>
              <w:t>/</w:t>
            </w:r>
          </w:p>
        </w:tc>
        <w:tc>
          <w:tcPr>
            <w:tcW w:w="1341" w:type="dxa"/>
            <w:noWrap w:val="0"/>
            <w:vAlign w:val="center"/>
          </w:tcPr>
          <w:p w14:paraId="750254C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cs="宋体"/>
                <w:bCs w:val="0"/>
                <w:caps w:val="0"/>
                <w:color w:val="000000"/>
                <w:spacing w:val="0"/>
                <w:kern w:val="2"/>
                <w:sz w:val="24"/>
                <w:szCs w:val="24"/>
                <w:highlight w:val="none"/>
                <w:lang w:val="en-US" w:eastAsia="zh-CN" w:bidi="ar-SA"/>
              </w:rPr>
              <w:t>/</w:t>
            </w:r>
          </w:p>
        </w:tc>
        <w:tc>
          <w:tcPr>
            <w:tcW w:w="1390" w:type="dxa"/>
            <w:noWrap w:val="0"/>
            <w:vAlign w:val="center"/>
          </w:tcPr>
          <w:p w14:paraId="07BDD68A">
            <w:pPr>
              <w:spacing w:beforeLines="0" w:afterLines="0" w:line="240" w:lineRule="auto"/>
              <w:ind w:firstLine="480" w:firstLineChars="20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cs="宋体"/>
                <w:bCs w:val="0"/>
                <w:caps w:val="0"/>
                <w:color w:val="000000"/>
                <w:spacing w:val="0"/>
                <w:kern w:val="2"/>
                <w:sz w:val="24"/>
                <w:szCs w:val="24"/>
                <w:highlight w:val="none"/>
                <w:lang w:val="en-US" w:eastAsia="zh-CN" w:bidi="ar-SA"/>
              </w:rPr>
              <w:t>/</w:t>
            </w:r>
          </w:p>
        </w:tc>
        <w:tc>
          <w:tcPr>
            <w:tcW w:w="1595" w:type="dxa"/>
            <w:noWrap w:val="0"/>
            <w:vAlign w:val="center"/>
          </w:tcPr>
          <w:p w14:paraId="5F704E14">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cs="宋体"/>
                <w:bCs w:val="0"/>
                <w:caps w:val="0"/>
                <w:color w:val="000000"/>
                <w:spacing w:val="0"/>
                <w:kern w:val="2"/>
                <w:sz w:val="24"/>
                <w:szCs w:val="24"/>
                <w:highlight w:val="none"/>
                <w:lang w:val="en-US" w:eastAsia="zh-CN" w:bidi="ar-SA"/>
              </w:rPr>
              <w:t>1t</w:t>
            </w:r>
          </w:p>
        </w:tc>
        <w:tc>
          <w:tcPr>
            <w:tcW w:w="1416" w:type="dxa"/>
            <w:noWrap w:val="0"/>
            <w:vAlign w:val="center"/>
          </w:tcPr>
          <w:p w14:paraId="154D9D01">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cs="宋体"/>
                <w:bCs w:val="0"/>
                <w:caps w:val="0"/>
                <w:color w:val="000000"/>
                <w:spacing w:val="0"/>
                <w:kern w:val="2"/>
                <w:sz w:val="24"/>
                <w:szCs w:val="24"/>
                <w:highlight w:val="none"/>
                <w:lang w:val="en-US" w:eastAsia="zh-CN" w:bidi="ar-SA"/>
              </w:rPr>
              <w:t>/</w:t>
            </w:r>
          </w:p>
        </w:tc>
        <w:tc>
          <w:tcPr>
            <w:tcW w:w="1662" w:type="dxa"/>
            <w:noWrap w:val="0"/>
            <w:vAlign w:val="center"/>
          </w:tcPr>
          <w:p w14:paraId="6359B7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cs="宋体"/>
                <w:bCs w:val="0"/>
                <w:caps w:val="0"/>
                <w:color w:val="000000"/>
                <w:spacing w:val="0"/>
                <w:kern w:val="2"/>
                <w:sz w:val="24"/>
                <w:szCs w:val="24"/>
                <w:highlight w:val="none"/>
                <w:lang w:val="en-US" w:eastAsia="zh-CN" w:bidi="ar-SA"/>
              </w:rPr>
              <w:t>1t</w:t>
            </w:r>
          </w:p>
        </w:tc>
        <w:tc>
          <w:tcPr>
            <w:tcW w:w="1589" w:type="dxa"/>
            <w:noWrap w:val="0"/>
            <w:vAlign w:val="center"/>
          </w:tcPr>
          <w:p w14:paraId="759EBD9D">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cs="宋体"/>
                <w:bCs w:val="0"/>
                <w:caps w:val="0"/>
                <w:color w:val="000000"/>
                <w:spacing w:val="0"/>
                <w:kern w:val="2"/>
                <w:sz w:val="24"/>
                <w:szCs w:val="24"/>
                <w:highlight w:val="none"/>
                <w:lang w:val="en-US" w:eastAsia="zh-CN" w:bidi="ar-SA"/>
              </w:rPr>
              <w:t>1t</w:t>
            </w:r>
          </w:p>
        </w:tc>
      </w:tr>
      <w:tr w14:paraId="79C5F5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4C51786B">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p>
        </w:tc>
        <w:tc>
          <w:tcPr>
            <w:tcW w:w="1443" w:type="dxa"/>
            <w:noWrap w:val="0"/>
            <w:vAlign w:val="center"/>
          </w:tcPr>
          <w:p w14:paraId="185CEEFA">
            <w:pPr>
              <w:pStyle w:val="70"/>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废机油</w:t>
            </w:r>
          </w:p>
        </w:tc>
        <w:tc>
          <w:tcPr>
            <w:tcW w:w="1524" w:type="dxa"/>
            <w:noWrap w:val="0"/>
            <w:vAlign w:val="center"/>
          </w:tcPr>
          <w:p w14:paraId="088C7A2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41" w:type="dxa"/>
            <w:noWrap w:val="0"/>
            <w:vAlign w:val="center"/>
          </w:tcPr>
          <w:p w14:paraId="2DFDE4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90" w:type="dxa"/>
            <w:noWrap w:val="0"/>
            <w:vAlign w:val="center"/>
          </w:tcPr>
          <w:p w14:paraId="315CF085">
            <w:pPr>
              <w:spacing w:beforeLines="0" w:afterLines="0" w:line="240" w:lineRule="auto"/>
              <w:ind w:firstLine="480" w:firstLineChars="20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95" w:type="dxa"/>
            <w:noWrap w:val="0"/>
            <w:vAlign w:val="center"/>
          </w:tcPr>
          <w:p w14:paraId="06FE7154">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0.01</w:t>
            </w:r>
          </w:p>
        </w:tc>
        <w:tc>
          <w:tcPr>
            <w:tcW w:w="1416" w:type="dxa"/>
            <w:noWrap w:val="0"/>
            <w:vAlign w:val="center"/>
          </w:tcPr>
          <w:p w14:paraId="12B4F985">
            <w:pPr>
              <w:spacing w:beforeLines="0" w:afterLines="0" w:line="240" w:lineRule="auto"/>
              <w:ind w:firstLine="480" w:firstLineChars="20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662" w:type="dxa"/>
            <w:noWrap w:val="0"/>
            <w:vAlign w:val="center"/>
          </w:tcPr>
          <w:p w14:paraId="2E4ACD95">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0.01</w:t>
            </w:r>
          </w:p>
        </w:tc>
        <w:tc>
          <w:tcPr>
            <w:tcW w:w="1589" w:type="dxa"/>
            <w:noWrap w:val="0"/>
            <w:vAlign w:val="center"/>
          </w:tcPr>
          <w:p w14:paraId="3823A55C">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0.01</w:t>
            </w:r>
          </w:p>
        </w:tc>
      </w:tr>
      <w:tr w14:paraId="696E1D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6F8F2AED">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p>
        </w:tc>
        <w:tc>
          <w:tcPr>
            <w:tcW w:w="1443" w:type="dxa"/>
            <w:noWrap w:val="0"/>
            <w:vAlign w:val="center"/>
          </w:tcPr>
          <w:p w14:paraId="5077016B">
            <w:pPr>
              <w:pStyle w:val="70"/>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废机油桶</w:t>
            </w:r>
          </w:p>
        </w:tc>
        <w:tc>
          <w:tcPr>
            <w:tcW w:w="1524" w:type="dxa"/>
            <w:noWrap w:val="0"/>
            <w:vAlign w:val="center"/>
          </w:tcPr>
          <w:p w14:paraId="58B00C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41" w:type="dxa"/>
            <w:noWrap w:val="0"/>
            <w:vAlign w:val="center"/>
          </w:tcPr>
          <w:p w14:paraId="470EEE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90" w:type="dxa"/>
            <w:noWrap w:val="0"/>
            <w:vAlign w:val="center"/>
          </w:tcPr>
          <w:p w14:paraId="0CFC69BC">
            <w:pPr>
              <w:spacing w:beforeLines="0" w:afterLines="0" w:line="240" w:lineRule="auto"/>
              <w:ind w:firstLine="480" w:firstLineChars="20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95" w:type="dxa"/>
            <w:noWrap w:val="0"/>
            <w:vAlign w:val="center"/>
          </w:tcPr>
          <w:p w14:paraId="2FC83256">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0.01</w:t>
            </w:r>
          </w:p>
        </w:tc>
        <w:tc>
          <w:tcPr>
            <w:tcW w:w="1416" w:type="dxa"/>
            <w:noWrap w:val="0"/>
            <w:vAlign w:val="center"/>
          </w:tcPr>
          <w:p w14:paraId="07D3CC22">
            <w:pPr>
              <w:spacing w:beforeLines="0" w:afterLines="0" w:line="240" w:lineRule="auto"/>
              <w:ind w:firstLine="480" w:firstLineChars="20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662" w:type="dxa"/>
            <w:noWrap w:val="0"/>
            <w:vAlign w:val="center"/>
          </w:tcPr>
          <w:p w14:paraId="0421B250">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0.01</w:t>
            </w:r>
          </w:p>
        </w:tc>
        <w:tc>
          <w:tcPr>
            <w:tcW w:w="1589" w:type="dxa"/>
            <w:noWrap w:val="0"/>
            <w:vAlign w:val="center"/>
          </w:tcPr>
          <w:p w14:paraId="19703302">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0.01</w:t>
            </w:r>
          </w:p>
        </w:tc>
      </w:tr>
      <w:tr w14:paraId="10FBF2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16DC9E35">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p>
        </w:tc>
        <w:tc>
          <w:tcPr>
            <w:tcW w:w="1443" w:type="dxa"/>
            <w:noWrap w:val="0"/>
            <w:vAlign w:val="center"/>
          </w:tcPr>
          <w:p w14:paraId="23F885B5">
            <w:pPr>
              <w:pStyle w:val="70"/>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含油棉纱</w:t>
            </w:r>
          </w:p>
        </w:tc>
        <w:tc>
          <w:tcPr>
            <w:tcW w:w="1524" w:type="dxa"/>
            <w:noWrap w:val="0"/>
            <w:vAlign w:val="center"/>
          </w:tcPr>
          <w:p w14:paraId="3139A90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41" w:type="dxa"/>
            <w:noWrap w:val="0"/>
            <w:vAlign w:val="center"/>
          </w:tcPr>
          <w:p w14:paraId="0FA5F24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390" w:type="dxa"/>
            <w:noWrap w:val="0"/>
            <w:vAlign w:val="center"/>
          </w:tcPr>
          <w:p w14:paraId="4B6205E2">
            <w:pPr>
              <w:spacing w:beforeLines="0" w:afterLines="0" w:line="240" w:lineRule="auto"/>
              <w:ind w:firstLine="480" w:firstLineChars="20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595" w:type="dxa"/>
            <w:noWrap w:val="0"/>
            <w:vAlign w:val="center"/>
          </w:tcPr>
          <w:p w14:paraId="1ABAB744">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0.005</w:t>
            </w:r>
          </w:p>
        </w:tc>
        <w:tc>
          <w:tcPr>
            <w:tcW w:w="1416" w:type="dxa"/>
            <w:noWrap w:val="0"/>
            <w:vAlign w:val="center"/>
          </w:tcPr>
          <w:p w14:paraId="1F7D1BE2">
            <w:pPr>
              <w:spacing w:beforeLines="0" w:afterLines="0" w:line="240" w:lineRule="auto"/>
              <w:ind w:firstLine="480" w:firstLineChars="20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w:t>
            </w:r>
          </w:p>
        </w:tc>
        <w:tc>
          <w:tcPr>
            <w:tcW w:w="1662" w:type="dxa"/>
            <w:noWrap w:val="0"/>
            <w:vAlign w:val="center"/>
          </w:tcPr>
          <w:p w14:paraId="723C7F83">
            <w:pPr>
              <w:pStyle w:val="70"/>
              <w:rPr>
                <w:rFonts w:hint="eastAsia"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0.005</w:t>
            </w:r>
          </w:p>
        </w:tc>
        <w:tc>
          <w:tcPr>
            <w:tcW w:w="1589" w:type="dxa"/>
            <w:noWrap w:val="0"/>
            <w:vAlign w:val="center"/>
          </w:tcPr>
          <w:p w14:paraId="2CECF525">
            <w:pPr>
              <w:pStyle w:val="70"/>
              <w:rPr>
                <w:rFonts w:hint="default" w:ascii="Times New Roman" w:hAnsi="Times New Roman" w:eastAsia="宋体" w:cs="宋体"/>
                <w:bCs w:val="0"/>
                <w:caps w:val="0"/>
                <w:color w:val="000000"/>
                <w:spacing w:val="0"/>
                <w:kern w:val="2"/>
                <w:sz w:val="24"/>
                <w:szCs w:val="24"/>
                <w:highlight w:val="none"/>
                <w:lang w:val="en-US" w:eastAsia="zh-CN" w:bidi="ar-SA"/>
              </w:rPr>
            </w:pPr>
            <w:r>
              <w:rPr>
                <w:rFonts w:hint="eastAsia" w:ascii="Times New Roman" w:hAnsi="Times New Roman" w:eastAsia="宋体" w:cs="宋体"/>
                <w:bCs w:val="0"/>
                <w:caps w:val="0"/>
                <w:color w:val="000000"/>
                <w:spacing w:val="0"/>
                <w:kern w:val="2"/>
                <w:sz w:val="24"/>
                <w:szCs w:val="24"/>
                <w:highlight w:val="none"/>
                <w:lang w:val="en-US" w:eastAsia="zh-CN" w:bidi="ar-SA"/>
              </w:rPr>
              <w:t>0.005</w:t>
            </w:r>
          </w:p>
        </w:tc>
      </w:tr>
      <w:tr w14:paraId="318D7A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2FF2CA3E">
            <w:pPr>
              <w:pStyle w:val="73"/>
              <w:spacing w:beforeLines="0" w:afterLines="0" w:line="240" w:lineRule="auto"/>
              <w:ind w:firstLine="0" w:firstLineChars="0"/>
              <w:rPr>
                <w:rFonts w:hint="eastAsia" w:ascii="Times New Roman" w:hAnsi="Times New Roman" w:eastAsia="宋体" w:cs="宋体"/>
                <w:bCs/>
                <w:caps w:val="0"/>
                <w:snapToGrid w:val="0"/>
                <w:spacing w:val="0"/>
                <w:kern w:val="21"/>
                <w:sz w:val="24"/>
                <w:szCs w:val="24"/>
                <w:highlight w:val="none"/>
              </w:rPr>
            </w:pPr>
          </w:p>
        </w:tc>
        <w:tc>
          <w:tcPr>
            <w:tcW w:w="1443" w:type="dxa"/>
            <w:noWrap w:val="0"/>
            <w:vAlign w:val="center"/>
          </w:tcPr>
          <w:p w14:paraId="3D75EF62">
            <w:pPr>
              <w:pStyle w:val="70"/>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废导热油</w:t>
            </w:r>
          </w:p>
        </w:tc>
        <w:tc>
          <w:tcPr>
            <w:tcW w:w="1524" w:type="dxa"/>
            <w:noWrap w:val="0"/>
            <w:vAlign w:val="center"/>
          </w:tcPr>
          <w:p w14:paraId="2983F75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pacing w:val="0"/>
                <w:kern w:val="2"/>
                <w:sz w:val="24"/>
                <w:szCs w:val="24"/>
                <w:highlight w:val="none"/>
                <w:lang w:val="en-US" w:eastAsia="zh-CN" w:bidi="ar-SA"/>
              </w:rPr>
            </w:pPr>
            <w:r>
              <w:rPr>
                <w:rFonts w:hint="eastAsia" w:ascii="Times New Roman" w:hAnsi="Times New Roman" w:cs="宋体"/>
                <w:caps w:val="0"/>
                <w:color w:val="auto"/>
                <w:spacing w:val="0"/>
                <w:kern w:val="2"/>
                <w:sz w:val="24"/>
                <w:szCs w:val="24"/>
                <w:highlight w:val="none"/>
                <w:lang w:val="en-US" w:eastAsia="zh-CN" w:bidi="ar-SA"/>
              </w:rPr>
              <w:t>/</w:t>
            </w:r>
          </w:p>
        </w:tc>
        <w:tc>
          <w:tcPr>
            <w:tcW w:w="1341" w:type="dxa"/>
            <w:noWrap w:val="0"/>
            <w:vAlign w:val="center"/>
          </w:tcPr>
          <w:p w14:paraId="50150BD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pacing w:val="0"/>
                <w:kern w:val="2"/>
                <w:sz w:val="24"/>
                <w:szCs w:val="24"/>
                <w:highlight w:val="none"/>
                <w:lang w:val="en-US" w:eastAsia="zh-CN" w:bidi="ar-SA"/>
              </w:rPr>
            </w:pPr>
            <w:r>
              <w:rPr>
                <w:rFonts w:hint="eastAsia" w:ascii="Times New Roman" w:hAnsi="Times New Roman" w:eastAsia="宋体" w:cs="宋体"/>
                <w:caps w:val="0"/>
                <w:color w:val="auto"/>
                <w:spacing w:val="0"/>
                <w:kern w:val="2"/>
                <w:sz w:val="24"/>
                <w:szCs w:val="24"/>
                <w:highlight w:val="none"/>
                <w:lang w:val="en-US" w:eastAsia="zh-CN" w:bidi="ar-SA"/>
              </w:rPr>
              <w:t>/</w:t>
            </w:r>
          </w:p>
        </w:tc>
        <w:tc>
          <w:tcPr>
            <w:tcW w:w="1390" w:type="dxa"/>
            <w:noWrap w:val="0"/>
            <w:vAlign w:val="center"/>
          </w:tcPr>
          <w:p w14:paraId="1D7AB413">
            <w:pPr>
              <w:spacing w:beforeLines="0" w:afterLines="0" w:line="240" w:lineRule="auto"/>
              <w:ind w:firstLine="480" w:firstLineChars="200"/>
              <w:rPr>
                <w:rFonts w:hint="eastAsia" w:ascii="Times New Roman" w:hAnsi="Times New Roman" w:eastAsia="宋体" w:cs="宋体"/>
                <w:caps w:val="0"/>
                <w:color w:val="auto"/>
                <w:spacing w:val="0"/>
                <w:kern w:val="2"/>
                <w:sz w:val="24"/>
                <w:szCs w:val="24"/>
                <w:highlight w:val="none"/>
                <w:lang w:val="en-US" w:eastAsia="zh-CN" w:bidi="ar-SA"/>
              </w:rPr>
            </w:pPr>
            <w:r>
              <w:rPr>
                <w:rFonts w:hint="eastAsia" w:ascii="Times New Roman" w:hAnsi="Times New Roman" w:eastAsia="宋体" w:cs="宋体"/>
                <w:caps w:val="0"/>
                <w:color w:val="auto"/>
                <w:spacing w:val="0"/>
                <w:kern w:val="2"/>
                <w:sz w:val="24"/>
                <w:szCs w:val="24"/>
                <w:highlight w:val="none"/>
                <w:lang w:val="en-US" w:eastAsia="zh-CN" w:bidi="ar-SA"/>
              </w:rPr>
              <w:t>/</w:t>
            </w:r>
          </w:p>
        </w:tc>
        <w:tc>
          <w:tcPr>
            <w:tcW w:w="1595" w:type="dxa"/>
            <w:noWrap w:val="0"/>
            <w:vAlign w:val="center"/>
          </w:tcPr>
          <w:p w14:paraId="50191154">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宋体"/>
                <w:caps w:val="0"/>
                <w:color w:val="auto"/>
                <w:spacing w:val="0"/>
                <w:kern w:val="2"/>
                <w:sz w:val="24"/>
                <w:szCs w:val="24"/>
                <w:highlight w:val="none"/>
                <w:lang w:val="en-US" w:eastAsia="zh-CN" w:bidi="ar-SA"/>
              </w:rPr>
            </w:pPr>
            <w:r>
              <w:rPr>
                <w:rFonts w:hint="eastAsia" w:ascii="Times New Roman" w:hAnsi="Times New Roman" w:cs="宋体"/>
                <w:caps w:val="0"/>
                <w:color w:val="auto"/>
                <w:spacing w:val="0"/>
                <w:kern w:val="2"/>
                <w:sz w:val="24"/>
                <w:szCs w:val="24"/>
                <w:highlight w:val="none"/>
                <w:lang w:val="en-US" w:eastAsia="zh-CN" w:bidi="ar-SA"/>
              </w:rPr>
              <w:t>2</w:t>
            </w:r>
            <w:r>
              <w:rPr>
                <w:rFonts w:hint="eastAsia" w:ascii="Times New Roman" w:hAnsi="Times New Roman" w:eastAsia="宋体" w:cs="宋体"/>
                <w:caps w:val="0"/>
                <w:color w:val="auto"/>
                <w:spacing w:val="0"/>
                <w:kern w:val="2"/>
                <w:sz w:val="24"/>
                <w:szCs w:val="24"/>
                <w:highlight w:val="none"/>
                <w:lang w:val="en-US" w:eastAsia="zh-CN" w:bidi="ar-SA"/>
              </w:rPr>
              <w:t>t/5a</w:t>
            </w:r>
          </w:p>
        </w:tc>
        <w:tc>
          <w:tcPr>
            <w:tcW w:w="1416" w:type="dxa"/>
            <w:noWrap w:val="0"/>
            <w:vAlign w:val="center"/>
          </w:tcPr>
          <w:p w14:paraId="0F7FC73D">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宋体"/>
                <w:caps w:val="0"/>
                <w:color w:val="auto"/>
                <w:spacing w:val="0"/>
                <w:kern w:val="2"/>
                <w:sz w:val="24"/>
                <w:szCs w:val="24"/>
                <w:highlight w:val="none"/>
                <w:lang w:val="en-US" w:eastAsia="zh-CN" w:bidi="ar-SA"/>
              </w:rPr>
            </w:pPr>
            <w:r>
              <w:rPr>
                <w:rFonts w:hint="eastAsia" w:ascii="Times New Roman" w:hAnsi="Times New Roman" w:cs="宋体"/>
                <w:caps w:val="0"/>
                <w:color w:val="auto"/>
                <w:spacing w:val="0"/>
                <w:kern w:val="2"/>
                <w:sz w:val="24"/>
                <w:szCs w:val="24"/>
                <w:highlight w:val="none"/>
                <w:lang w:val="en-US" w:eastAsia="zh-CN" w:bidi="ar-SA"/>
              </w:rPr>
              <w:t>/</w:t>
            </w:r>
          </w:p>
        </w:tc>
        <w:tc>
          <w:tcPr>
            <w:tcW w:w="1662" w:type="dxa"/>
            <w:noWrap w:val="0"/>
            <w:vAlign w:val="center"/>
          </w:tcPr>
          <w:p w14:paraId="1F02F150">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宋体"/>
                <w:caps w:val="0"/>
                <w:color w:val="000000"/>
                <w:spacing w:val="0"/>
                <w:sz w:val="24"/>
                <w:szCs w:val="24"/>
                <w:highlight w:val="none"/>
                <w:lang w:val="en-US" w:eastAsia="zh-CN"/>
              </w:rPr>
            </w:pPr>
            <w:r>
              <w:rPr>
                <w:rFonts w:hint="eastAsia" w:ascii="Times New Roman" w:hAnsi="Times New Roman" w:cs="宋体"/>
                <w:caps w:val="0"/>
                <w:color w:val="auto"/>
                <w:spacing w:val="0"/>
                <w:kern w:val="2"/>
                <w:sz w:val="24"/>
                <w:szCs w:val="24"/>
                <w:highlight w:val="none"/>
                <w:lang w:val="en-US" w:eastAsia="zh-CN" w:bidi="ar-SA"/>
              </w:rPr>
              <w:t>2</w:t>
            </w:r>
            <w:r>
              <w:rPr>
                <w:rFonts w:hint="eastAsia" w:ascii="Times New Roman" w:hAnsi="Times New Roman" w:eastAsia="宋体" w:cs="宋体"/>
                <w:caps w:val="0"/>
                <w:color w:val="auto"/>
                <w:spacing w:val="0"/>
                <w:kern w:val="2"/>
                <w:sz w:val="24"/>
                <w:szCs w:val="24"/>
                <w:highlight w:val="none"/>
                <w:lang w:val="en-US" w:eastAsia="zh-CN" w:bidi="ar-SA"/>
              </w:rPr>
              <w:t>t/5a</w:t>
            </w:r>
          </w:p>
        </w:tc>
        <w:tc>
          <w:tcPr>
            <w:tcW w:w="1589" w:type="dxa"/>
            <w:noWrap w:val="0"/>
            <w:vAlign w:val="center"/>
          </w:tcPr>
          <w:p w14:paraId="1BF5825D">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宋体"/>
                <w:caps w:val="0"/>
                <w:color w:val="000000"/>
                <w:spacing w:val="0"/>
                <w:sz w:val="24"/>
                <w:szCs w:val="24"/>
                <w:highlight w:val="none"/>
                <w:lang w:val="en-US" w:eastAsia="zh-CN"/>
              </w:rPr>
            </w:pPr>
            <w:r>
              <w:rPr>
                <w:rFonts w:hint="eastAsia" w:ascii="Times New Roman" w:hAnsi="Times New Roman" w:eastAsia="宋体" w:cs="宋体"/>
                <w:caps w:val="0"/>
                <w:color w:val="auto"/>
                <w:spacing w:val="0"/>
                <w:kern w:val="2"/>
                <w:sz w:val="24"/>
                <w:szCs w:val="24"/>
                <w:highlight w:val="none"/>
                <w:lang w:val="en-US" w:eastAsia="zh-CN" w:bidi="ar-SA"/>
              </w:rPr>
              <w:t>/</w:t>
            </w:r>
          </w:p>
        </w:tc>
      </w:tr>
      <w:tr w14:paraId="01F75A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noWrap w:val="0"/>
            <w:vAlign w:val="center"/>
          </w:tcPr>
          <w:p w14:paraId="15ACDFB7">
            <w:pPr>
              <w:pStyle w:val="73"/>
              <w:spacing w:beforeLines="0" w:afterLines="0" w:line="240" w:lineRule="auto"/>
              <w:ind w:firstLine="0" w:firstLineChars="0"/>
              <w:rPr>
                <w:rFonts w:hint="default" w:ascii="Times New Roman" w:hAnsi="Times New Roman" w:eastAsia="宋体" w:cs="宋体"/>
                <w:bCs/>
                <w:caps w:val="0"/>
                <w:snapToGrid w:val="0"/>
                <w:spacing w:val="0"/>
                <w:kern w:val="21"/>
                <w:sz w:val="24"/>
                <w:szCs w:val="24"/>
                <w:highlight w:val="none"/>
                <w:lang w:val="en-US" w:eastAsia="zh-CN"/>
              </w:rPr>
            </w:pPr>
            <w:r>
              <w:rPr>
                <w:rFonts w:hint="eastAsia" w:ascii="Times New Roman" w:hAnsi="Times New Roman" w:eastAsia="宋体" w:cs="宋体"/>
                <w:bCs/>
                <w:caps w:val="0"/>
                <w:snapToGrid w:val="0"/>
                <w:spacing w:val="0"/>
                <w:kern w:val="21"/>
                <w:sz w:val="24"/>
                <w:szCs w:val="24"/>
                <w:highlight w:val="none"/>
                <w:lang w:val="en-US" w:eastAsia="zh-CN"/>
              </w:rPr>
              <w:t>生活垃圾</w:t>
            </w:r>
          </w:p>
        </w:tc>
        <w:tc>
          <w:tcPr>
            <w:tcW w:w="1443" w:type="dxa"/>
            <w:noWrap w:val="0"/>
            <w:vAlign w:val="center"/>
          </w:tcPr>
          <w:p w14:paraId="496B0A30">
            <w:pPr>
              <w:pStyle w:val="70"/>
              <w:rPr>
                <w:rFonts w:hint="default"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val="en-US" w:eastAsia="zh-CN"/>
              </w:rPr>
              <w:t>生活垃圾</w:t>
            </w:r>
          </w:p>
        </w:tc>
        <w:tc>
          <w:tcPr>
            <w:tcW w:w="1524" w:type="dxa"/>
            <w:noWrap w:val="0"/>
            <w:vAlign w:val="center"/>
          </w:tcPr>
          <w:p w14:paraId="33C28D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pacing w:val="0"/>
                <w:kern w:val="2"/>
                <w:sz w:val="24"/>
                <w:szCs w:val="24"/>
                <w:highlight w:val="none"/>
                <w:lang w:val="en-US" w:eastAsia="zh-CN" w:bidi="ar-SA"/>
              </w:rPr>
            </w:pPr>
            <w:r>
              <w:rPr>
                <w:rFonts w:hint="eastAsia" w:ascii="Times New Roman" w:hAnsi="Times New Roman" w:eastAsia="宋体" w:cs="宋体"/>
                <w:caps w:val="0"/>
                <w:color w:val="auto"/>
                <w:spacing w:val="0"/>
                <w:kern w:val="2"/>
                <w:sz w:val="24"/>
                <w:szCs w:val="24"/>
                <w:highlight w:val="none"/>
                <w:lang w:val="en-US" w:eastAsia="zh-CN" w:bidi="ar-SA"/>
              </w:rPr>
              <w:t>4.5</w:t>
            </w:r>
          </w:p>
        </w:tc>
        <w:tc>
          <w:tcPr>
            <w:tcW w:w="1341" w:type="dxa"/>
            <w:noWrap w:val="0"/>
            <w:vAlign w:val="center"/>
          </w:tcPr>
          <w:p w14:paraId="0313FF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spacing w:val="0"/>
                <w:kern w:val="2"/>
                <w:sz w:val="24"/>
                <w:szCs w:val="24"/>
                <w:highlight w:val="none"/>
                <w:lang w:val="en-US" w:eastAsia="zh-CN" w:bidi="ar-SA"/>
              </w:rPr>
            </w:pPr>
          </w:p>
        </w:tc>
        <w:tc>
          <w:tcPr>
            <w:tcW w:w="1390" w:type="dxa"/>
            <w:noWrap w:val="0"/>
            <w:vAlign w:val="center"/>
          </w:tcPr>
          <w:p w14:paraId="33346EA8">
            <w:pPr>
              <w:pStyle w:val="73"/>
              <w:spacing w:beforeLines="0" w:afterLines="0" w:line="240" w:lineRule="auto"/>
              <w:ind w:firstLine="0" w:firstLineChars="0"/>
              <w:rPr>
                <w:rFonts w:hint="eastAsia" w:ascii="Times New Roman" w:hAnsi="Times New Roman" w:eastAsia="宋体" w:cs="宋体"/>
                <w:caps w:val="0"/>
                <w:color w:val="auto"/>
                <w:spacing w:val="0"/>
                <w:kern w:val="2"/>
                <w:sz w:val="24"/>
                <w:szCs w:val="24"/>
                <w:highlight w:val="none"/>
                <w:lang w:val="en-US" w:eastAsia="zh-CN" w:bidi="ar-SA"/>
              </w:rPr>
            </w:pPr>
          </w:p>
        </w:tc>
        <w:tc>
          <w:tcPr>
            <w:tcW w:w="1595" w:type="dxa"/>
            <w:noWrap w:val="0"/>
            <w:vAlign w:val="center"/>
          </w:tcPr>
          <w:p w14:paraId="3FAD14CF">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宋体"/>
                <w:caps w:val="0"/>
                <w:color w:val="auto"/>
                <w:spacing w:val="0"/>
                <w:kern w:val="2"/>
                <w:sz w:val="24"/>
                <w:szCs w:val="24"/>
                <w:highlight w:val="none"/>
                <w:lang w:val="en-US" w:eastAsia="zh-CN" w:bidi="ar-SA"/>
              </w:rPr>
            </w:pPr>
            <w:r>
              <w:rPr>
                <w:rFonts w:hint="eastAsia" w:ascii="Times New Roman" w:hAnsi="Times New Roman" w:eastAsia="宋体" w:cs="宋体"/>
                <w:caps w:val="0"/>
                <w:color w:val="auto"/>
                <w:spacing w:val="0"/>
                <w:kern w:val="2"/>
                <w:sz w:val="24"/>
                <w:szCs w:val="24"/>
                <w:highlight w:val="none"/>
                <w:lang w:val="en-US" w:eastAsia="zh-CN" w:bidi="ar-SA"/>
              </w:rPr>
              <w:t>/</w:t>
            </w:r>
          </w:p>
        </w:tc>
        <w:tc>
          <w:tcPr>
            <w:tcW w:w="1416" w:type="dxa"/>
            <w:noWrap w:val="0"/>
            <w:vAlign w:val="center"/>
          </w:tcPr>
          <w:p w14:paraId="3A9387E3">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宋体"/>
                <w:caps w:val="0"/>
                <w:color w:val="auto"/>
                <w:spacing w:val="0"/>
                <w:kern w:val="2"/>
                <w:sz w:val="24"/>
                <w:szCs w:val="24"/>
                <w:highlight w:val="none"/>
                <w:lang w:val="en-US" w:eastAsia="zh-CN" w:bidi="ar-SA"/>
              </w:rPr>
            </w:pPr>
          </w:p>
        </w:tc>
        <w:tc>
          <w:tcPr>
            <w:tcW w:w="1662" w:type="dxa"/>
            <w:noWrap w:val="0"/>
            <w:vAlign w:val="center"/>
          </w:tcPr>
          <w:p w14:paraId="67EADE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Cs/>
                <w:caps w:val="0"/>
                <w:color w:val="000000"/>
                <w:spacing w:val="0"/>
                <w:sz w:val="24"/>
                <w:szCs w:val="24"/>
                <w:highlight w:val="none"/>
                <w:lang w:val="en-US" w:eastAsia="zh-CN"/>
              </w:rPr>
            </w:pPr>
            <w:r>
              <w:rPr>
                <w:rFonts w:hint="eastAsia" w:ascii="Times New Roman" w:hAnsi="Times New Roman" w:eastAsia="宋体" w:cs="宋体"/>
                <w:caps w:val="0"/>
                <w:color w:val="auto"/>
                <w:spacing w:val="0"/>
                <w:kern w:val="2"/>
                <w:sz w:val="24"/>
                <w:szCs w:val="24"/>
                <w:highlight w:val="none"/>
                <w:lang w:val="en-US" w:eastAsia="zh-CN" w:bidi="ar-SA"/>
              </w:rPr>
              <w:t>4.5</w:t>
            </w:r>
          </w:p>
        </w:tc>
        <w:tc>
          <w:tcPr>
            <w:tcW w:w="1589" w:type="dxa"/>
            <w:noWrap w:val="0"/>
            <w:vAlign w:val="center"/>
          </w:tcPr>
          <w:p w14:paraId="66677599">
            <w:pPr>
              <w:pStyle w:val="70"/>
              <w:rPr>
                <w:rFonts w:hint="default" w:ascii="Times New Roman" w:hAnsi="Times New Roman" w:eastAsia="宋体" w:cs="宋体"/>
                <w:caps w:val="0"/>
                <w:color w:val="000000"/>
                <w:spacing w:val="0"/>
                <w:sz w:val="24"/>
                <w:szCs w:val="24"/>
                <w:highlight w:val="none"/>
                <w:lang w:val="en-US" w:eastAsia="zh-CN"/>
              </w:rPr>
            </w:pPr>
            <w:r>
              <w:rPr>
                <w:rFonts w:hint="eastAsia" w:ascii="Times New Roman" w:hAnsi="Times New Roman" w:eastAsia="宋体" w:cs="宋体"/>
                <w:caps w:val="0"/>
                <w:color w:val="000000"/>
                <w:spacing w:val="0"/>
                <w:sz w:val="24"/>
                <w:szCs w:val="24"/>
                <w:highlight w:val="none"/>
                <w:lang w:val="en-US" w:eastAsia="zh-CN"/>
              </w:rPr>
              <w:t>/</w:t>
            </w:r>
          </w:p>
        </w:tc>
      </w:tr>
    </w:tbl>
    <w:p w14:paraId="1FC3B35C">
      <w:pPr>
        <w:pStyle w:val="73"/>
        <w:spacing w:before="24" w:after="24"/>
        <w:ind w:firstLine="420"/>
        <w:rPr>
          <w:rFonts w:hint="eastAsia" w:ascii="Times New Roman" w:hAnsi="Times New Roman" w:eastAsia="宋体" w:cs="宋体"/>
          <w:caps w:val="0"/>
          <w:color w:val="FF0000"/>
          <w:spacing w:val="0"/>
          <w:highlight w:val="none"/>
        </w:rPr>
      </w:pPr>
      <w:r>
        <w:rPr>
          <w:rFonts w:hint="eastAsia" w:ascii="Times New Roman" w:hAnsi="Times New Roman" w:eastAsia="宋体" w:cs="宋体"/>
          <w:caps w:val="0"/>
          <w:snapToGrid w:val="0"/>
          <w:spacing w:val="0"/>
          <w:kern w:val="21"/>
          <w:highlight w:val="none"/>
        </w:rPr>
        <w:t>注：</w:t>
      </w:r>
      <w:r>
        <w:rPr>
          <w:rFonts w:hint="eastAsia" w:ascii="Times New Roman" w:hAnsi="Times New Roman" w:eastAsia="宋体" w:cs="宋体"/>
          <w:caps w:val="0"/>
          <w:snapToGrid w:val="0"/>
          <w:spacing w:val="0"/>
          <w:kern w:val="21"/>
          <w:highlight w:val="none"/>
        </w:rPr>
        <w:fldChar w:fldCharType="begin"/>
      </w:r>
      <w:r>
        <w:rPr>
          <w:rFonts w:hint="eastAsia" w:ascii="Times New Roman" w:hAnsi="Times New Roman" w:eastAsia="宋体" w:cs="宋体"/>
          <w:caps w:val="0"/>
          <w:snapToGrid w:val="0"/>
          <w:spacing w:val="0"/>
          <w:kern w:val="21"/>
          <w:highlight w:val="none"/>
        </w:rPr>
        <w:instrText xml:space="preserve"> = 6 \* GB3 \* MERGEFORMAT </w:instrText>
      </w:r>
      <w:r>
        <w:rPr>
          <w:rFonts w:hint="eastAsia" w:ascii="Times New Roman" w:hAnsi="Times New Roman" w:eastAsia="宋体" w:cs="宋体"/>
          <w:caps w:val="0"/>
          <w:snapToGrid w:val="0"/>
          <w:spacing w:val="0"/>
          <w:kern w:val="21"/>
          <w:highlight w:val="none"/>
        </w:rPr>
        <w:fldChar w:fldCharType="separate"/>
      </w:r>
      <w:r>
        <w:rPr>
          <w:rFonts w:hint="eastAsia" w:ascii="Times New Roman" w:hAnsi="Times New Roman" w:eastAsia="宋体" w:cs="宋体"/>
          <w:caps w:val="0"/>
          <w:spacing w:val="0"/>
          <w:highlight w:val="none"/>
        </w:rPr>
        <w:t>⑥</w:t>
      </w:r>
      <w:r>
        <w:rPr>
          <w:rFonts w:hint="eastAsia" w:ascii="Times New Roman" w:hAnsi="Times New Roman" w:eastAsia="宋体" w:cs="宋体"/>
          <w:caps w:val="0"/>
          <w:snapToGrid w:val="0"/>
          <w:spacing w:val="0"/>
          <w:kern w:val="21"/>
          <w:highlight w:val="none"/>
        </w:rPr>
        <w:fldChar w:fldCharType="end"/>
      </w:r>
      <w:r>
        <w:rPr>
          <w:rFonts w:hint="eastAsia" w:ascii="Times New Roman" w:hAnsi="Times New Roman" w:eastAsia="宋体" w:cs="宋体"/>
          <w:caps w:val="0"/>
          <w:snapToGrid w:val="0"/>
          <w:spacing w:val="0"/>
          <w:kern w:val="21"/>
          <w:highlight w:val="none"/>
        </w:rPr>
        <w:t>=</w:t>
      </w:r>
      <w:r>
        <w:rPr>
          <w:rFonts w:hint="eastAsia" w:ascii="Times New Roman" w:hAnsi="Times New Roman" w:eastAsia="宋体" w:cs="宋体"/>
          <w:caps w:val="0"/>
          <w:snapToGrid w:val="0"/>
          <w:spacing w:val="0"/>
          <w:kern w:val="21"/>
          <w:highlight w:val="none"/>
        </w:rPr>
        <w:fldChar w:fldCharType="begin"/>
      </w:r>
      <w:r>
        <w:rPr>
          <w:rFonts w:hint="eastAsia" w:ascii="Times New Roman" w:hAnsi="Times New Roman" w:eastAsia="宋体" w:cs="宋体"/>
          <w:caps w:val="0"/>
          <w:snapToGrid w:val="0"/>
          <w:spacing w:val="0"/>
          <w:kern w:val="21"/>
          <w:highlight w:val="none"/>
        </w:rPr>
        <w:instrText xml:space="preserve"> = 1 \* GB3 \* MERGEFORMAT </w:instrText>
      </w:r>
      <w:r>
        <w:rPr>
          <w:rFonts w:hint="eastAsia" w:ascii="Times New Roman" w:hAnsi="Times New Roman" w:eastAsia="宋体" w:cs="宋体"/>
          <w:caps w:val="0"/>
          <w:snapToGrid w:val="0"/>
          <w:spacing w:val="0"/>
          <w:kern w:val="21"/>
          <w:highlight w:val="none"/>
        </w:rPr>
        <w:fldChar w:fldCharType="separate"/>
      </w:r>
      <w:r>
        <w:rPr>
          <w:rFonts w:hint="eastAsia" w:ascii="Times New Roman" w:hAnsi="Times New Roman" w:eastAsia="宋体" w:cs="宋体"/>
          <w:caps w:val="0"/>
          <w:spacing w:val="0"/>
          <w:highlight w:val="none"/>
        </w:rPr>
        <w:t>①</w:t>
      </w:r>
      <w:r>
        <w:rPr>
          <w:rFonts w:hint="eastAsia" w:ascii="Times New Roman" w:hAnsi="Times New Roman" w:eastAsia="宋体" w:cs="宋体"/>
          <w:caps w:val="0"/>
          <w:snapToGrid w:val="0"/>
          <w:spacing w:val="0"/>
          <w:kern w:val="21"/>
          <w:highlight w:val="none"/>
        </w:rPr>
        <w:fldChar w:fldCharType="end"/>
      </w:r>
      <w:r>
        <w:rPr>
          <w:rFonts w:hint="eastAsia" w:ascii="Times New Roman" w:hAnsi="Times New Roman" w:eastAsia="宋体" w:cs="宋体"/>
          <w:caps w:val="0"/>
          <w:snapToGrid w:val="0"/>
          <w:spacing w:val="0"/>
          <w:kern w:val="21"/>
          <w:highlight w:val="none"/>
        </w:rPr>
        <w:t>+</w:t>
      </w:r>
      <w:r>
        <w:rPr>
          <w:rFonts w:hint="eastAsia" w:ascii="Times New Roman" w:hAnsi="Times New Roman" w:eastAsia="宋体" w:cs="宋体"/>
          <w:caps w:val="0"/>
          <w:snapToGrid w:val="0"/>
          <w:spacing w:val="0"/>
          <w:kern w:val="21"/>
          <w:highlight w:val="none"/>
        </w:rPr>
        <w:fldChar w:fldCharType="begin"/>
      </w:r>
      <w:r>
        <w:rPr>
          <w:rFonts w:hint="eastAsia" w:ascii="Times New Roman" w:hAnsi="Times New Roman" w:eastAsia="宋体" w:cs="宋体"/>
          <w:caps w:val="0"/>
          <w:snapToGrid w:val="0"/>
          <w:spacing w:val="0"/>
          <w:kern w:val="21"/>
          <w:highlight w:val="none"/>
        </w:rPr>
        <w:instrText xml:space="preserve"> = 3 \* GB3 \* MERGEFORMAT </w:instrText>
      </w:r>
      <w:r>
        <w:rPr>
          <w:rFonts w:hint="eastAsia" w:ascii="Times New Roman" w:hAnsi="Times New Roman" w:eastAsia="宋体" w:cs="宋体"/>
          <w:caps w:val="0"/>
          <w:snapToGrid w:val="0"/>
          <w:spacing w:val="0"/>
          <w:kern w:val="21"/>
          <w:highlight w:val="none"/>
        </w:rPr>
        <w:fldChar w:fldCharType="separate"/>
      </w:r>
      <w:r>
        <w:rPr>
          <w:rFonts w:hint="eastAsia" w:ascii="Times New Roman" w:hAnsi="Times New Roman" w:eastAsia="宋体" w:cs="宋体"/>
          <w:caps w:val="0"/>
          <w:spacing w:val="0"/>
          <w:highlight w:val="none"/>
        </w:rPr>
        <w:t>③</w:t>
      </w:r>
      <w:r>
        <w:rPr>
          <w:rFonts w:hint="eastAsia" w:ascii="Times New Roman" w:hAnsi="Times New Roman" w:eastAsia="宋体" w:cs="宋体"/>
          <w:caps w:val="0"/>
          <w:snapToGrid w:val="0"/>
          <w:spacing w:val="0"/>
          <w:kern w:val="21"/>
          <w:highlight w:val="none"/>
        </w:rPr>
        <w:fldChar w:fldCharType="end"/>
      </w:r>
      <w:r>
        <w:rPr>
          <w:rFonts w:hint="eastAsia" w:ascii="Times New Roman" w:hAnsi="Times New Roman" w:eastAsia="宋体" w:cs="宋体"/>
          <w:caps w:val="0"/>
          <w:snapToGrid w:val="0"/>
          <w:spacing w:val="0"/>
          <w:kern w:val="21"/>
          <w:highlight w:val="none"/>
        </w:rPr>
        <w:t>+</w:t>
      </w:r>
      <w:r>
        <w:rPr>
          <w:rFonts w:hint="eastAsia" w:ascii="Times New Roman" w:hAnsi="Times New Roman" w:eastAsia="宋体" w:cs="宋体"/>
          <w:caps w:val="0"/>
          <w:snapToGrid w:val="0"/>
          <w:spacing w:val="0"/>
          <w:kern w:val="21"/>
          <w:highlight w:val="none"/>
        </w:rPr>
        <w:fldChar w:fldCharType="begin"/>
      </w:r>
      <w:r>
        <w:rPr>
          <w:rFonts w:hint="eastAsia" w:ascii="Times New Roman" w:hAnsi="Times New Roman" w:eastAsia="宋体" w:cs="宋体"/>
          <w:caps w:val="0"/>
          <w:snapToGrid w:val="0"/>
          <w:spacing w:val="0"/>
          <w:kern w:val="21"/>
          <w:highlight w:val="none"/>
        </w:rPr>
        <w:instrText xml:space="preserve"> = 4 \* GB3 \* MERGEFORMAT </w:instrText>
      </w:r>
      <w:r>
        <w:rPr>
          <w:rFonts w:hint="eastAsia" w:ascii="Times New Roman" w:hAnsi="Times New Roman" w:eastAsia="宋体" w:cs="宋体"/>
          <w:caps w:val="0"/>
          <w:snapToGrid w:val="0"/>
          <w:spacing w:val="0"/>
          <w:kern w:val="21"/>
          <w:highlight w:val="none"/>
        </w:rPr>
        <w:fldChar w:fldCharType="separate"/>
      </w:r>
      <w:r>
        <w:rPr>
          <w:rFonts w:hint="eastAsia" w:ascii="Times New Roman" w:hAnsi="Times New Roman" w:eastAsia="宋体" w:cs="宋体"/>
          <w:caps w:val="0"/>
          <w:spacing w:val="0"/>
          <w:highlight w:val="none"/>
        </w:rPr>
        <w:t>④</w:t>
      </w:r>
      <w:r>
        <w:rPr>
          <w:rFonts w:hint="eastAsia" w:ascii="Times New Roman" w:hAnsi="Times New Roman" w:eastAsia="宋体" w:cs="宋体"/>
          <w:caps w:val="0"/>
          <w:snapToGrid w:val="0"/>
          <w:spacing w:val="0"/>
          <w:kern w:val="21"/>
          <w:highlight w:val="none"/>
        </w:rPr>
        <w:fldChar w:fldCharType="end"/>
      </w:r>
      <w:r>
        <w:rPr>
          <w:rFonts w:hint="eastAsia" w:ascii="Times New Roman" w:hAnsi="Times New Roman" w:eastAsia="宋体" w:cs="宋体"/>
          <w:caps w:val="0"/>
          <w:snapToGrid w:val="0"/>
          <w:spacing w:val="0"/>
          <w:kern w:val="21"/>
          <w:highlight w:val="none"/>
        </w:rPr>
        <w:t>-</w:t>
      </w:r>
      <w:r>
        <w:rPr>
          <w:rFonts w:hint="eastAsia" w:ascii="Times New Roman" w:hAnsi="Times New Roman" w:eastAsia="宋体" w:cs="宋体"/>
          <w:caps w:val="0"/>
          <w:snapToGrid w:val="0"/>
          <w:spacing w:val="0"/>
          <w:kern w:val="21"/>
          <w:highlight w:val="none"/>
        </w:rPr>
        <w:fldChar w:fldCharType="begin"/>
      </w:r>
      <w:r>
        <w:rPr>
          <w:rFonts w:hint="eastAsia" w:ascii="Times New Roman" w:hAnsi="Times New Roman" w:eastAsia="宋体" w:cs="宋体"/>
          <w:caps w:val="0"/>
          <w:snapToGrid w:val="0"/>
          <w:spacing w:val="0"/>
          <w:kern w:val="21"/>
          <w:highlight w:val="none"/>
        </w:rPr>
        <w:instrText xml:space="preserve"> = 5 \* GB3 \* MERGEFORMAT </w:instrText>
      </w:r>
      <w:r>
        <w:rPr>
          <w:rFonts w:hint="eastAsia" w:ascii="Times New Roman" w:hAnsi="Times New Roman" w:eastAsia="宋体" w:cs="宋体"/>
          <w:caps w:val="0"/>
          <w:snapToGrid w:val="0"/>
          <w:spacing w:val="0"/>
          <w:kern w:val="21"/>
          <w:highlight w:val="none"/>
        </w:rPr>
        <w:fldChar w:fldCharType="separate"/>
      </w:r>
      <w:r>
        <w:rPr>
          <w:rFonts w:hint="eastAsia" w:ascii="Times New Roman" w:hAnsi="Times New Roman" w:eastAsia="宋体" w:cs="宋体"/>
          <w:caps w:val="0"/>
          <w:spacing w:val="0"/>
          <w:highlight w:val="none"/>
        </w:rPr>
        <w:t>⑤</w:t>
      </w:r>
      <w:r>
        <w:rPr>
          <w:rFonts w:hint="eastAsia" w:ascii="Times New Roman" w:hAnsi="Times New Roman" w:eastAsia="宋体" w:cs="宋体"/>
          <w:caps w:val="0"/>
          <w:snapToGrid w:val="0"/>
          <w:spacing w:val="0"/>
          <w:kern w:val="21"/>
          <w:highlight w:val="none"/>
        </w:rPr>
        <w:fldChar w:fldCharType="end"/>
      </w:r>
      <w:r>
        <w:rPr>
          <w:rFonts w:hint="eastAsia" w:ascii="Times New Roman" w:hAnsi="Times New Roman" w:eastAsia="宋体" w:cs="宋体"/>
          <w:caps w:val="0"/>
          <w:snapToGrid w:val="0"/>
          <w:spacing w:val="0"/>
          <w:kern w:val="21"/>
          <w:highlight w:val="none"/>
        </w:rPr>
        <w:t>；</w:t>
      </w:r>
      <w:r>
        <w:rPr>
          <w:rFonts w:hint="eastAsia" w:ascii="Times New Roman" w:hAnsi="Times New Roman" w:eastAsia="宋体" w:cs="宋体"/>
          <w:caps w:val="0"/>
          <w:snapToGrid w:val="0"/>
          <w:spacing w:val="0"/>
          <w:kern w:val="21"/>
          <w:highlight w:val="none"/>
        </w:rPr>
        <w:fldChar w:fldCharType="begin"/>
      </w:r>
      <w:r>
        <w:rPr>
          <w:rFonts w:hint="eastAsia" w:ascii="Times New Roman" w:hAnsi="Times New Roman" w:eastAsia="宋体" w:cs="宋体"/>
          <w:caps w:val="0"/>
          <w:snapToGrid w:val="0"/>
          <w:spacing w:val="0"/>
          <w:kern w:val="21"/>
          <w:highlight w:val="none"/>
        </w:rPr>
        <w:instrText xml:space="preserve"> = 7 \* GB3 \* MERGEFORMAT </w:instrText>
      </w:r>
      <w:r>
        <w:rPr>
          <w:rFonts w:hint="eastAsia" w:ascii="Times New Roman" w:hAnsi="Times New Roman" w:eastAsia="宋体" w:cs="宋体"/>
          <w:caps w:val="0"/>
          <w:snapToGrid w:val="0"/>
          <w:spacing w:val="0"/>
          <w:kern w:val="21"/>
          <w:highlight w:val="none"/>
        </w:rPr>
        <w:fldChar w:fldCharType="separate"/>
      </w:r>
      <w:r>
        <w:rPr>
          <w:rFonts w:hint="eastAsia" w:ascii="Times New Roman" w:hAnsi="Times New Roman" w:eastAsia="宋体" w:cs="宋体"/>
          <w:caps w:val="0"/>
          <w:spacing w:val="0"/>
          <w:highlight w:val="none"/>
        </w:rPr>
        <w:t>⑦</w:t>
      </w:r>
      <w:r>
        <w:rPr>
          <w:rFonts w:hint="eastAsia" w:ascii="Times New Roman" w:hAnsi="Times New Roman" w:eastAsia="宋体" w:cs="宋体"/>
          <w:caps w:val="0"/>
          <w:snapToGrid w:val="0"/>
          <w:spacing w:val="0"/>
          <w:kern w:val="21"/>
          <w:highlight w:val="none"/>
        </w:rPr>
        <w:fldChar w:fldCharType="end"/>
      </w:r>
      <w:r>
        <w:rPr>
          <w:rFonts w:hint="eastAsia" w:ascii="Times New Roman" w:hAnsi="Times New Roman" w:eastAsia="宋体" w:cs="宋体"/>
          <w:caps w:val="0"/>
          <w:snapToGrid w:val="0"/>
          <w:spacing w:val="0"/>
          <w:kern w:val="21"/>
          <w:highlight w:val="none"/>
        </w:rPr>
        <w:t>=</w:t>
      </w:r>
      <w:r>
        <w:rPr>
          <w:rFonts w:hint="eastAsia" w:ascii="Times New Roman" w:hAnsi="Times New Roman" w:eastAsia="宋体" w:cs="宋体"/>
          <w:caps w:val="0"/>
          <w:snapToGrid w:val="0"/>
          <w:spacing w:val="0"/>
          <w:kern w:val="21"/>
          <w:highlight w:val="none"/>
        </w:rPr>
        <w:fldChar w:fldCharType="begin"/>
      </w:r>
      <w:r>
        <w:rPr>
          <w:rFonts w:hint="eastAsia" w:ascii="Times New Roman" w:hAnsi="Times New Roman" w:eastAsia="宋体" w:cs="宋体"/>
          <w:caps w:val="0"/>
          <w:snapToGrid w:val="0"/>
          <w:spacing w:val="0"/>
          <w:kern w:val="21"/>
          <w:highlight w:val="none"/>
        </w:rPr>
        <w:instrText xml:space="preserve"> = 6 \* GB3 \* MERGEFORMAT </w:instrText>
      </w:r>
      <w:r>
        <w:rPr>
          <w:rFonts w:hint="eastAsia" w:ascii="Times New Roman" w:hAnsi="Times New Roman" w:eastAsia="宋体" w:cs="宋体"/>
          <w:caps w:val="0"/>
          <w:snapToGrid w:val="0"/>
          <w:spacing w:val="0"/>
          <w:kern w:val="21"/>
          <w:highlight w:val="none"/>
        </w:rPr>
        <w:fldChar w:fldCharType="separate"/>
      </w:r>
      <w:r>
        <w:rPr>
          <w:rFonts w:hint="eastAsia" w:ascii="Times New Roman" w:hAnsi="Times New Roman" w:eastAsia="宋体" w:cs="宋体"/>
          <w:caps w:val="0"/>
          <w:spacing w:val="0"/>
          <w:highlight w:val="none"/>
        </w:rPr>
        <w:t>⑥</w:t>
      </w:r>
      <w:r>
        <w:rPr>
          <w:rFonts w:hint="eastAsia" w:ascii="Times New Roman" w:hAnsi="Times New Roman" w:eastAsia="宋体" w:cs="宋体"/>
          <w:caps w:val="0"/>
          <w:snapToGrid w:val="0"/>
          <w:spacing w:val="0"/>
          <w:kern w:val="21"/>
          <w:highlight w:val="none"/>
        </w:rPr>
        <w:fldChar w:fldCharType="end"/>
      </w:r>
      <w:r>
        <w:rPr>
          <w:rFonts w:hint="eastAsia" w:ascii="Times New Roman" w:hAnsi="Times New Roman" w:eastAsia="宋体" w:cs="宋体"/>
          <w:caps w:val="0"/>
          <w:snapToGrid w:val="0"/>
          <w:spacing w:val="0"/>
          <w:kern w:val="21"/>
          <w:highlight w:val="none"/>
        </w:rPr>
        <w:t>-</w:t>
      </w:r>
      <w:r>
        <w:rPr>
          <w:rFonts w:hint="eastAsia" w:ascii="Times New Roman" w:hAnsi="Times New Roman" w:eastAsia="宋体" w:cs="宋体"/>
          <w:caps w:val="0"/>
          <w:snapToGrid w:val="0"/>
          <w:spacing w:val="0"/>
          <w:kern w:val="21"/>
          <w:highlight w:val="none"/>
        </w:rPr>
        <w:fldChar w:fldCharType="begin"/>
      </w:r>
      <w:r>
        <w:rPr>
          <w:rFonts w:hint="eastAsia" w:ascii="Times New Roman" w:hAnsi="Times New Roman" w:eastAsia="宋体" w:cs="宋体"/>
          <w:caps w:val="0"/>
          <w:snapToGrid w:val="0"/>
          <w:spacing w:val="0"/>
          <w:kern w:val="21"/>
          <w:highlight w:val="none"/>
        </w:rPr>
        <w:instrText xml:space="preserve"> = 1 \* GB3 \* MERGEFORMAT </w:instrText>
      </w:r>
      <w:r>
        <w:rPr>
          <w:rFonts w:hint="eastAsia" w:ascii="Times New Roman" w:hAnsi="Times New Roman" w:eastAsia="宋体" w:cs="宋体"/>
          <w:caps w:val="0"/>
          <w:snapToGrid w:val="0"/>
          <w:spacing w:val="0"/>
          <w:kern w:val="21"/>
          <w:highlight w:val="none"/>
        </w:rPr>
        <w:fldChar w:fldCharType="separate"/>
      </w:r>
      <w:r>
        <w:rPr>
          <w:rFonts w:hint="eastAsia" w:ascii="Times New Roman" w:hAnsi="Times New Roman" w:eastAsia="宋体" w:cs="宋体"/>
          <w:caps w:val="0"/>
          <w:spacing w:val="0"/>
          <w:highlight w:val="none"/>
        </w:rPr>
        <w:t>①</w:t>
      </w:r>
      <w:r>
        <w:rPr>
          <w:rFonts w:hint="eastAsia" w:ascii="Times New Roman" w:hAnsi="Times New Roman" w:eastAsia="宋体" w:cs="宋体"/>
          <w:caps w:val="0"/>
          <w:snapToGrid w:val="0"/>
          <w:spacing w:val="0"/>
          <w:kern w:val="21"/>
          <w:highlight w:val="none"/>
        </w:rPr>
        <w:fldChar w:fldCharType="end"/>
      </w:r>
    </w:p>
    <w:p w14:paraId="2DD227B3">
      <w:pPr>
        <w:rPr>
          <w:rFonts w:hint="eastAsia" w:ascii="Times New Roman" w:hAnsi="Times New Roman" w:eastAsia="宋体" w:cs="宋体"/>
          <w:caps w:val="0"/>
          <w:color w:val="FF0000"/>
          <w:spacing w:val="0"/>
          <w:highlight w:val="none"/>
        </w:rPr>
        <w:sectPr>
          <w:footerReference r:id="rId12" w:type="default"/>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2ED6DB0F">
      <w:pPr>
        <w:ind w:left="0" w:leftChars="0" w:firstLine="0" w:firstLineChars="0"/>
        <w:outlineLvl w:val="0"/>
        <w:rPr>
          <w:rFonts w:hint="eastAsia" w:ascii="Times New Roman" w:hAnsi="Times New Roman" w:eastAsia="宋体" w:cs="宋体"/>
          <w:b/>
          <w:bCs w:val="0"/>
          <w:caps w:val="0"/>
          <w:spacing w:val="0"/>
          <w:highlight w:val="none"/>
          <w:lang w:val="en-US" w:eastAsia="zh-CN"/>
        </w:rPr>
      </w:pPr>
      <w:bookmarkStart w:id="23" w:name="_Toc28560"/>
      <w:r>
        <w:rPr>
          <w:rFonts w:hint="eastAsia" w:ascii="Times New Roman" w:hAnsi="Times New Roman" w:eastAsia="宋体" w:cs="宋体"/>
          <w:b/>
          <w:bCs w:val="0"/>
          <w:caps w:val="0"/>
          <w:spacing w:val="0"/>
          <w:highlight w:val="none"/>
          <w:lang w:val="en-US" w:eastAsia="zh-CN"/>
        </w:rPr>
        <w:t>附图1 项目所在位置图</w:t>
      </w:r>
      <w:bookmarkEnd w:id="23"/>
    </w:p>
    <w:p w14:paraId="6D906E6C">
      <w:pPr>
        <w:pStyle w:val="19"/>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宋体"/>
          <w:caps w:val="0"/>
          <w:spacing w:val="0"/>
          <w:highlight w:val="none"/>
        </w:rPr>
        <w:sectPr>
          <w:footerReference r:id="rId13" w:type="default"/>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宋体"/>
          <w:caps w:val="0"/>
          <w:spacing w:val="0"/>
          <w:sz w:val="28"/>
          <w:highlight w:val="none"/>
        </w:rPr>
        <mc:AlternateContent>
          <mc:Choice Requires="wps">
            <w:drawing>
              <wp:anchor distT="0" distB="0" distL="114300" distR="114300" simplePos="0" relativeHeight="251661312" behindDoc="0" locked="0" layoutInCell="1" allowOverlap="1">
                <wp:simplePos x="0" y="0"/>
                <wp:positionH relativeFrom="column">
                  <wp:posOffset>4555490</wp:posOffset>
                </wp:positionH>
                <wp:positionV relativeFrom="paragraph">
                  <wp:posOffset>2320290</wp:posOffset>
                </wp:positionV>
                <wp:extent cx="787400" cy="338455"/>
                <wp:effectExtent l="245745" t="5080" r="14605" b="304165"/>
                <wp:wrapNone/>
                <wp:docPr id="7" name="自选图形 51"/>
                <wp:cNvGraphicFramePr/>
                <a:graphic xmlns:a="http://schemas.openxmlformats.org/drawingml/2006/main">
                  <a:graphicData uri="http://schemas.microsoft.com/office/word/2010/wordprocessingShape">
                    <wps:wsp>
                      <wps:cNvSpPr/>
                      <wps:spPr>
                        <a:xfrm>
                          <a:off x="0" y="0"/>
                          <a:ext cx="787400" cy="338455"/>
                        </a:xfrm>
                        <a:prstGeom prst="wedgeRectCallout">
                          <a:avLst>
                            <a:gd name="adj1" fmla="val -77009"/>
                            <a:gd name="adj2" fmla="val 128426"/>
                          </a:avLst>
                        </a:prstGeom>
                        <a:noFill/>
                        <a:ln w="9525" cap="flat" cmpd="sng">
                          <a:solidFill>
                            <a:srgbClr val="000000"/>
                          </a:solidFill>
                          <a:prstDash val="solid"/>
                          <a:miter/>
                          <a:headEnd type="none" w="med" len="med"/>
                          <a:tailEnd type="none" w="med" len="med"/>
                        </a:ln>
                      </wps:spPr>
                      <wps:txbx>
                        <w:txbxContent>
                          <w:p w14:paraId="7CE1BDE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b/>
                                <w:bCs w:val="0"/>
                                <w:color w:val="auto"/>
                                <w:highlight w:val="none"/>
                                <w:lang w:val="en-US" w:eastAsia="zh-CN"/>
                              </w:rPr>
                            </w:pPr>
                            <w:r>
                              <w:rPr>
                                <w:rFonts w:hint="eastAsia"/>
                                <w:b/>
                                <w:bCs w:val="0"/>
                                <w:color w:val="auto"/>
                                <w:highlight w:val="none"/>
                                <w:lang w:val="en-US" w:eastAsia="zh-CN"/>
                              </w:rPr>
                              <w:t>本项目</w:t>
                            </w:r>
                          </w:p>
                        </w:txbxContent>
                      </wps:txbx>
                      <wps:bodyPr wrap="square" upright="1"/>
                    </wps:wsp>
                  </a:graphicData>
                </a:graphic>
              </wp:anchor>
            </w:drawing>
          </mc:Choice>
          <mc:Fallback>
            <w:pict>
              <v:shape id="自选图形 51" o:spid="_x0000_s1026" o:spt="61" type="#_x0000_t61" style="position:absolute;left:0pt;margin-left:358.7pt;margin-top:182.7pt;height:26.65pt;width:62pt;z-index:251661312;mso-width-relative:page;mso-height-relative:page;" filled="f" stroked="t" coordsize="21600,21600" o:gfxdata="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Nq9D+DbAAAACwEAAA8AAAAAAAAAAQAgAAAA&#10;IgAAAGRycy9kb3ducmV2LnhtbFBLAQIUABQAAAAIAIdO4kAJFLZ7QQIAAHMEAAAOAAAAAAAAAAEA&#10;IAAAACoBAABkcnMvZTJvRG9jLnhtbFBLBQYAAAAABgAGAFkBAADdBQAAAAA=&#10;" adj="-5834,38540">
                <v:fill on="f" focussize="0,0"/>
                <v:stroke color="#000000" joinstyle="miter"/>
                <v:imagedata o:title=""/>
                <o:lock v:ext="edit" aspectratio="f"/>
                <v:textbox>
                  <w:txbxContent>
                    <w:p w14:paraId="7CE1BDE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b/>
                          <w:bCs w:val="0"/>
                          <w:color w:val="auto"/>
                          <w:highlight w:val="none"/>
                          <w:lang w:val="en-US" w:eastAsia="zh-CN"/>
                        </w:rPr>
                      </w:pPr>
                      <w:r>
                        <w:rPr>
                          <w:rFonts w:hint="eastAsia"/>
                          <w:b/>
                          <w:bCs w:val="0"/>
                          <w:color w:val="auto"/>
                          <w:highlight w:val="none"/>
                          <w:lang w:val="en-US" w:eastAsia="zh-CN"/>
                        </w:rPr>
                        <w:t>本项目</w:t>
                      </w:r>
                    </w:p>
                  </w:txbxContent>
                </v:textbox>
              </v:shape>
            </w:pict>
          </mc:Fallback>
        </mc:AlternateContent>
      </w:r>
      <w:r>
        <w:rPr>
          <w:rFonts w:hint="eastAsia" w:ascii="Times New Roman" w:hAnsi="Times New Roman" w:eastAsia="宋体" w:cs="宋体"/>
          <w:caps w:val="0"/>
          <w:spacing w:val="0"/>
          <w:sz w:val="28"/>
          <w:highlight w:val="none"/>
        </w:rPr>
        <mc:AlternateContent>
          <mc:Choice Requires="wps">
            <w:drawing>
              <wp:anchor distT="0" distB="0" distL="114300" distR="114300" simplePos="0" relativeHeight="251662336" behindDoc="0" locked="0" layoutInCell="1" allowOverlap="1">
                <wp:simplePos x="0" y="0"/>
                <wp:positionH relativeFrom="column">
                  <wp:posOffset>4159250</wp:posOffset>
                </wp:positionH>
                <wp:positionV relativeFrom="paragraph">
                  <wp:posOffset>2790825</wp:posOffset>
                </wp:positionV>
                <wp:extent cx="242570" cy="250825"/>
                <wp:effectExtent l="13970" t="16510" r="29210" b="18415"/>
                <wp:wrapNone/>
                <wp:docPr id="6" name="自选图形 52"/>
                <wp:cNvGraphicFramePr/>
                <a:graphic xmlns:a="http://schemas.openxmlformats.org/drawingml/2006/main">
                  <a:graphicData uri="http://schemas.microsoft.com/office/word/2010/wordprocessingShape">
                    <wps:wsp>
                      <wps:cNvSpPr/>
                      <wps:spPr>
                        <a:xfrm>
                          <a:off x="0" y="0"/>
                          <a:ext cx="242570" cy="250825"/>
                        </a:xfrm>
                        <a:prstGeom prst="star5">
                          <a:avLst/>
                        </a:prstGeom>
                        <a:solidFill>
                          <a:srgbClr val="FF0000"/>
                        </a:solidFill>
                        <a:ln w="9525" cap="flat" cmpd="sng">
                          <a:solidFill>
                            <a:srgbClr val="FF0000"/>
                          </a:solidFill>
                          <a:prstDash val="solid"/>
                          <a:miter/>
                          <a:headEnd type="none" w="med" len="med"/>
                          <a:tailEnd type="none" w="med" len="med"/>
                        </a:ln>
                      </wps:spPr>
                      <wps:bodyPr wrap="square" upright="1"/>
                    </wps:wsp>
                  </a:graphicData>
                </a:graphic>
              </wp:anchor>
            </w:drawing>
          </mc:Choice>
          <mc:Fallback>
            <w:pict>
              <v:shape id="自选图形 52" o:spid="_x0000_s1026" style="position:absolute;left:0pt;margin-left:327.5pt;margin-top:219.75pt;height:19.75pt;width:19.1pt;z-index:251662336;mso-width-relative:page;mso-height-relative:page;" fillcolor="#FF0000" filled="t" stroked="t" coordsize="242570,250825" o:gfxdata="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6t0jcAAAACwEAAA8AAAAAAAAA&#10;AQAgAAAAIgAAAGRycy9kb3ducmV2LnhtbFBLAQIUABQAAAAIAIdO4kBcUTbTDQIAADMEAAAOAAAA&#10;AAAAAAEAIAAAACsBAABkcnMvZTJvRG9jLnhtbFBLBQYAAAAABgAGAFkBAACqBQAAAAA=&#10;" path="m0,95806l92654,95807,121285,0,149915,95807,242569,95806,167610,155017,196243,250824,121285,191611,46326,250824,74959,155017xe">
                <v:path o:connectlocs="121285,0;0,95806;46326,250824;196243,250824;242569,95806" o:connectangles="247,164,82,82,0"/>
                <v:fill on="t" focussize="0,0"/>
                <v:stroke color="#FF0000" joinstyle="miter"/>
                <v:imagedata o:title=""/>
                <o:lock v:ext="edit" aspectratio="f"/>
              </v:shape>
            </w:pict>
          </mc:Fallback>
        </mc:AlternateContent>
      </w:r>
      <w:r>
        <w:rPr>
          <w:rFonts w:hint="eastAsia" w:ascii="Times New Roman" w:hAnsi="Times New Roman" w:eastAsia="宋体" w:cs="宋体"/>
          <w:b/>
          <w:bCs w:val="0"/>
          <w:caps w:val="0"/>
          <w:spacing w:val="0"/>
          <w:highlight w:val="none"/>
          <w:lang w:val="en-US" w:eastAsia="zh-CN"/>
        </w:rPr>
        <w:drawing>
          <wp:anchor distT="0" distB="0" distL="114300" distR="114300" simplePos="0" relativeHeight="251660288" behindDoc="0" locked="0" layoutInCell="1" allowOverlap="1">
            <wp:simplePos x="0" y="0"/>
            <wp:positionH relativeFrom="column">
              <wp:posOffset>7636510</wp:posOffset>
            </wp:positionH>
            <wp:positionV relativeFrom="paragraph">
              <wp:posOffset>5715</wp:posOffset>
            </wp:positionV>
            <wp:extent cx="428625" cy="809625"/>
            <wp:effectExtent l="0" t="0" r="9525" b="9525"/>
            <wp:wrapNone/>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8"/>
                    <a:stretch>
                      <a:fillRect/>
                    </a:stretch>
                  </pic:blipFill>
                  <pic:spPr>
                    <a:xfrm>
                      <a:off x="0" y="0"/>
                      <a:ext cx="428625" cy="809625"/>
                    </a:xfrm>
                    <a:prstGeom prst="rect">
                      <a:avLst/>
                    </a:prstGeom>
                    <a:noFill/>
                    <a:ln>
                      <a:noFill/>
                    </a:ln>
                  </pic:spPr>
                </pic:pic>
              </a:graphicData>
            </a:graphic>
          </wp:anchor>
        </w:drawing>
      </w:r>
      <w:r>
        <w:rPr>
          <w:rFonts w:hint="eastAsia" w:ascii="Times New Roman" w:hAnsi="Times New Roman" w:eastAsia="宋体" w:cs="宋体"/>
          <w:caps w:val="0"/>
          <w:spacing w:val="0"/>
          <w:highlight w:val="none"/>
        </w:rPr>
        <w:pict>
          <v:shape id="Object 53" o:spid="_x0000_s1077" o:spt="75" type="#_x0000_t75" style="position:absolute;left:0pt;margin-left:36.15pt;margin-top:373.9pt;height:47.25pt;width:111pt;z-index:251663360;mso-width-relative:page;mso-height-relative:page;" o:ole="t" filled="f" o:preferrelative="t" stroked="f" coordsize="21600,21600">
            <v:path/>
            <v:fill on="f" focussize="0,0"/>
            <v:stroke on="f"/>
            <v:imagedata r:id="rId40" o:title=""/>
            <o:lock v:ext="edit" aspectratio="f"/>
          </v:shape>
          <o:OLEObject Type="Embed" ProgID="Visio.Drawing.15" ShapeID="Object 53" DrawAspect="Content" ObjectID="_1468075732" r:id="rId39">
            <o:LockedField>false</o:LockedField>
          </o:OLEObject>
        </w:pict>
      </w:r>
      <w:r>
        <w:rPr>
          <w:rFonts w:ascii="Times New Roman" w:hAnsi="Times New Roman" w:eastAsia="宋体" w:cs="宋体"/>
          <w:caps w:val="0"/>
          <w:highlight w:val="none"/>
        </w:rPr>
        <w:drawing>
          <wp:inline distT="0" distB="0" distL="114300" distR="114300">
            <wp:extent cx="7855585" cy="5334000"/>
            <wp:effectExtent l="0" t="0" r="12065" b="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41"/>
                    <a:stretch>
                      <a:fillRect/>
                    </a:stretch>
                  </pic:blipFill>
                  <pic:spPr>
                    <a:xfrm>
                      <a:off x="0" y="0"/>
                      <a:ext cx="7855585" cy="5334000"/>
                    </a:xfrm>
                    <a:prstGeom prst="rect">
                      <a:avLst/>
                    </a:prstGeom>
                    <a:noFill/>
                    <a:ln>
                      <a:noFill/>
                    </a:ln>
                  </pic:spPr>
                </pic:pic>
              </a:graphicData>
            </a:graphic>
          </wp:inline>
        </w:drawing>
      </w:r>
    </w:p>
    <w:p w14:paraId="7D6B1917">
      <w:pPr>
        <w:pStyle w:val="7"/>
        <w:spacing w:line="360" w:lineRule="auto"/>
        <w:jc w:val="left"/>
        <w:rPr>
          <w:rFonts w:hint="eastAsia" w:ascii="Times New Roman" w:hAnsi="Times New Roman" w:eastAsia="宋体" w:cs="宋体"/>
          <w:b/>
          <w:bCs/>
          <w:caps w:val="0"/>
          <w:spacing w:val="0"/>
          <w:sz w:val="24"/>
          <w:szCs w:val="24"/>
          <w:highlight w:val="none"/>
          <w:lang w:eastAsia="zh-CN"/>
        </w:rPr>
      </w:pPr>
      <w:bookmarkStart w:id="24" w:name="_Toc21168"/>
      <w:r>
        <w:rPr>
          <w:rFonts w:hint="eastAsia" w:ascii="Times New Roman" w:hAnsi="Times New Roman" w:eastAsia="宋体" w:cs="宋体"/>
          <w:b/>
          <w:bCs/>
          <w:caps w:val="0"/>
          <w:spacing w:val="0"/>
          <w:sz w:val="24"/>
          <w:szCs w:val="24"/>
          <w:highlight w:val="none"/>
        </w:rPr>
        <w:t>附图</w:t>
      </w:r>
      <w:r>
        <w:rPr>
          <w:rFonts w:hint="eastAsia" w:ascii="Times New Roman" w:hAnsi="Times New Roman" w:eastAsia="宋体" w:cs="宋体"/>
          <w:b/>
          <w:bCs/>
          <w:caps w:val="0"/>
          <w:spacing w:val="0"/>
          <w:sz w:val="24"/>
          <w:szCs w:val="24"/>
          <w:highlight w:val="none"/>
          <w:lang w:val="en-US" w:eastAsia="zh-CN"/>
        </w:rPr>
        <w:t>2</w:t>
      </w:r>
      <w:r>
        <w:rPr>
          <w:rFonts w:hint="eastAsia" w:ascii="Times New Roman" w:hAnsi="Times New Roman" w:eastAsia="宋体" w:cs="宋体"/>
          <w:b/>
          <w:bCs/>
          <w:caps w:val="0"/>
          <w:spacing w:val="0"/>
          <w:sz w:val="24"/>
          <w:szCs w:val="24"/>
          <w:highlight w:val="none"/>
        </w:rPr>
        <w:t xml:space="preserve"> </w:t>
      </w:r>
      <w:r>
        <w:rPr>
          <w:rFonts w:hint="eastAsia" w:ascii="Times New Roman" w:hAnsi="Times New Roman" w:eastAsia="宋体" w:cs="宋体"/>
          <w:b/>
          <w:bCs/>
          <w:caps w:val="0"/>
          <w:spacing w:val="0"/>
          <w:sz w:val="24"/>
          <w:szCs w:val="24"/>
          <w:highlight w:val="none"/>
          <w:lang w:val="en-US" w:eastAsia="zh-CN"/>
        </w:rPr>
        <w:t>厂区总</w:t>
      </w:r>
      <w:r>
        <w:rPr>
          <w:rFonts w:hint="eastAsia" w:ascii="Times New Roman" w:hAnsi="Times New Roman" w:eastAsia="宋体" w:cs="宋体"/>
          <w:b/>
          <w:bCs/>
          <w:caps w:val="0"/>
          <w:spacing w:val="0"/>
          <w:sz w:val="24"/>
          <w:szCs w:val="24"/>
          <w:highlight w:val="none"/>
        </w:rPr>
        <w:t>平面布置图</w:t>
      </w:r>
      <w:bookmarkEnd w:id="24"/>
    </w:p>
    <w:p w14:paraId="2B18A2E7">
      <w:pPr>
        <w:pStyle w:val="19"/>
        <w:ind w:left="0" w:leftChars="0" w:firstLine="0" w:firstLineChars="0"/>
        <w:jc w:val="center"/>
        <w:rPr>
          <w:rFonts w:ascii="Times New Roman" w:hAnsi="Times New Roman" w:eastAsia="宋体" w:cs="宋体"/>
          <w:caps w:val="0"/>
          <w:color w:val="auto"/>
          <w:highlight w:val="none"/>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sz w:val="28"/>
          <w:highlight w:val="none"/>
        </w:rPr>
        <mc:AlternateContent>
          <mc:Choice Requires="wps">
            <w:drawing>
              <wp:anchor distT="0" distB="0" distL="114300" distR="114300" simplePos="0" relativeHeight="251676672" behindDoc="0" locked="0" layoutInCell="1" allowOverlap="1">
                <wp:simplePos x="0" y="0"/>
                <wp:positionH relativeFrom="column">
                  <wp:posOffset>5755005</wp:posOffset>
                </wp:positionH>
                <wp:positionV relativeFrom="paragraph">
                  <wp:posOffset>3997325</wp:posOffset>
                </wp:positionV>
                <wp:extent cx="243205" cy="84455"/>
                <wp:effectExtent l="12700" t="12700" r="29845" b="17145"/>
                <wp:wrapNone/>
                <wp:docPr id="36" name="矩形 36"/>
                <wp:cNvGraphicFramePr/>
                <a:graphic xmlns:a="http://schemas.openxmlformats.org/drawingml/2006/main">
                  <a:graphicData uri="http://schemas.microsoft.com/office/word/2010/wordprocessingShape">
                    <wps:wsp>
                      <wps:cNvSpPr/>
                      <wps:spPr>
                        <a:xfrm>
                          <a:off x="6898005" y="5207635"/>
                          <a:ext cx="243205" cy="84455"/>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3.15pt;margin-top:314.75pt;height:6.65pt;width:19.15pt;z-index:251676672;v-text-anchor:middle;mso-width-relative:page;mso-height-relative:page;" fillcolor="#FFFF00" filled="t" stroked="t" coordsize="21600,21600" o:gfxdata="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mSvbTbAAAACwEAAA8AAAAAAAAAAQAgAAAAIgAAAGRycy9kb3du&#10;cmV2LnhtbFBLAQIUABQAAAAIAIdO4kDHGqjYbgIAAOkEAAAOAAAAAAAAAAEAIAAAACoBAABkcnMv&#10;ZTJvRG9jLnhtbFBLBQYAAAAABgAGAFkBAAAKBgAAAAA=&#10;">
                <v:fill on="t" focussize="0,0"/>
                <v:stroke weight="2pt" color="#FFFF00 [2404]" joinstyle="round"/>
                <v:imagedata o:title=""/>
                <o:lock v:ext="edit" aspectratio="f"/>
              </v:rect>
            </w:pict>
          </mc:Fallback>
        </mc:AlternateContent>
      </w:r>
      <w:r>
        <w:rPr>
          <w:sz w:val="28"/>
          <w:highlight w:val="none"/>
        </w:rPr>
        <mc:AlternateContent>
          <mc:Choice Requires="wps">
            <w:drawing>
              <wp:anchor distT="0" distB="0" distL="114300" distR="114300" simplePos="0" relativeHeight="251674624" behindDoc="0" locked="0" layoutInCell="1" allowOverlap="1">
                <wp:simplePos x="0" y="0"/>
                <wp:positionH relativeFrom="column">
                  <wp:posOffset>5648960</wp:posOffset>
                </wp:positionH>
                <wp:positionV relativeFrom="paragraph">
                  <wp:posOffset>3879850</wp:posOffset>
                </wp:positionV>
                <wp:extent cx="1637030" cy="773430"/>
                <wp:effectExtent l="4445" t="4445" r="15875" b="22225"/>
                <wp:wrapNone/>
                <wp:docPr id="35" name="文本框 35"/>
                <wp:cNvGraphicFramePr/>
                <a:graphic xmlns:a="http://schemas.openxmlformats.org/drawingml/2006/main">
                  <a:graphicData uri="http://schemas.microsoft.com/office/word/2010/wordprocessingShape">
                    <wps:wsp>
                      <wps:cNvSpPr txBox="1"/>
                      <wps:spPr>
                        <a:xfrm>
                          <a:off x="6802755" y="5048885"/>
                          <a:ext cx="1637030" cy="7734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309CF08">
                            <w:pPr>
                              <w:rPr>
                                <w:rFonts w:hint="default" w:eastAsia="宋体"/>
                                <w:lang w:val="en-US" w:eastAsia="zh-CN"/>
                              </w:rPr>
                            </w:pPr>
                            <w:r>
                              <w:rPr>
                                <w:rFonts w:hint="eastAsia"/>
                                <w:lang w:val="en-US" w:eastAsia="zh-CN"/>
                              </w:rPr>
                              <w:t>本次改、扩建部分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4.8pt;margin-top:305.5pt;height:60.9pt;width:128.9pt;z-index:251674624;mso-width-relative:page;mso-height-relative:page;" fillcolor="#FFFFFF [3201]" filled="t" stroked="t" coordsize="21600,21600" o:gfxdata="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z1c1ftkAAAAMAQAADwAAAAAAAAABACAAAAAiAAAAZHJzL2Rvd25yZXYueG1sUEsBAhQA&#10;FAAAAAgAh07iQBZYyiJjAgAAxQQAAA4AAAAAAAAAAQAgAAAAKAEAAGRycy9lMm9Eb2MueG1sUEsF&#10;BgAAAAAGAAYAWQEAAP0FAAAAAA==&#10;">
                <v:fill on="t" focussize="0,0"/>
                <v:stroke weight="0.5pt" color="#000000 [3204]" joinstyle="round"/>
                <v:imagedata o:title=""/>
                <o:lock v:ext="edit" aspectratio="f"/>
                <v:textbox>
                  <w:txbxContent>
                    <w:p w14:paraId="3309CF08">
                      <w:pPr>
                        <w:rPr>
                          <w:rFonts w:hint="default" w:eastAsia="宋体"/>
                          <w:lang w:val="en-US" w:eastAsia="zh-CN"/>
                        </w:rPr>
                      </w:pPr>
                      <w:r>
                        <w:rPr>
                          <w:rFonts w:hint="eastAsia"/>
                          <w:lang w:val="en-US" w:eastAsia="zh-CN"/>
                        </w:rPr>
                        <w:t>本次改、扩建部分</w:t>
                      </w:r>
                    </w:p>
                  </w:txbxContent>
                </v:textbox>
              </v:shape>
            </w:pict>
          </mc:Fallback>
        </mc:AlternateContent>
      </w:r>
      <w:r>
        <w:rPr>
          <w:rFonts w:hint="eastAsia" w:ascii="Times New Roman" w:hAnsi="Times New Roman" w:eastAsia="宋体" w:cs="宋体"/>
          <w:caps w:val="0"/>
          <w:spacing w:val="0"/>
          <w:highlight w:val="none"/>
        </w:rPr>
        <w:pict>
          <v:shape id="_x0000_s1080" o:spid="_x0000_s1080" o:spt="75" type="#_x0000_t75" style="position:absolute;left:0pt;margin-left:446.7pt;margin-top:330.3pt;height:47.25pt;width:111pt;z-index:251675648;mso-width-relative:page;mso-height-relative:page;" o:ole="t" filled="f" o:preferrelative="t" stroked="f" coordsize="21600,21600">
            <v:path/>
            <v:fill on="f" focussize="0,0"/>
            <v:stroke on="f"/>
            <v:imagedata r:id="rId43" o:title=""/>
            <o:lock v:ext="edit" aspectratio="f"/>
          </v:shape>
          <o:OLEObject Type="Embed" ProgID="Visio.Drawing.15" ShapeID="_x0000_s1080" DrawAspect="Content" ObjectID="_1468075733" r:id="rId42">
            <o:LockedField>false</o:LockedField>
          </o:OLEObject>
        </w:pict>
      </w:r>
      <w:r>
        <w:rPr>
          <w:rFonts w:ascii="Times New Roman" w:hAnsi="Times New Roman" w:eastAsia="宋体" w:cs="宋体"/>
          <w:caps w:val="0"/>
          <w:color w:val="auto"/>
          <w:highlight w:val="none"/>
        </w:rPr>
        <w:object>
          <v:shape id="_x0000_i1032" o:spt="75" type="#_x0000_t75" style="height:408.6pt;width:585.6pt;" o:ole="t" filled="f" o:preferrelative="t" stroked="f" coordsize="21600,21600">
            <v:path/>
            <v:fill on="f" focussize="0,0"/>
            <v:stroke on="f"/>
            <v:imagedata r:id="rId45" o:title=""/>
            <o:lock v:ext="edit" aspectratio="f"/>
            <w10:wrap type="none"/>
            <w10:anchorlock/>
          </v:shape>
          <o:OLEObject Type="Embed" ProgID="Visio.Drawing.15" ShapeID="_x0000_i1032" DrawAspect="Content" ObjectID="_1468075734" r:id="rId44">
            <o:LockedField>false</o:LockedField>
          </o:OLEObject>
        </w:object>
      </w:r>
    </w:p>
    <w:p w14:paraId="5E0BCEC9">
      <w:pPr>
        <w:ind w:left="0" w:leftChars="0" w:firstLine="0" w:firstLineChars="0"/>
        <w:outlineLvl w:val="0"/>
        <w:rPr>
          <w:rFonts w:hint="default" w:ascii="Times New Roman" w:hAnsi="Times New Roman" w:eastAsia="宋体" w:cs="宋体"/>
          <w:b/>
          <w:bCs w:val="0"/>
          <w:caps w:val="0"/>
          <w:spacing w:val="0"/>
          <w:highlight w:val="none"/>
          <w:lang w:val="en-US" w:eastAsia="zh-CN"/>
        </w:rPr>
      </w:pPr>
      <w:bookmarkStart w:id="25" w:name="_Toc6969"/>
      <w:r>
        <w:rPr>
          <w:rFonts w:hint="eastAsia" w:ascii="Times New Roman" w:hAnsi="Times New Roman" w:eastAsia="宋体" w:cs="宋体"/>
          <w:caps w:val="0"/>
          <w:color w:val="auto"/>
          <w:spacing w:val="0"/>
          <w:highlight w:val="none"/>
        </w:rPr>
        <w:drawing>
          <wp:anchor distT="0" distB="0" distL="114300" distR="114300" simplePos="0" relativeHeight="251665408" behindDoc="0" locked="0" layoutInCell="1" allowOverlap="1">
            <wp:simplePos x="0" y="0"/>
            <wp:positionH relativeFrom="column">
              <wp:posOffset>7326630</wp:posOffset>
            </wp:positionH>
            <wp:positionV relativeFrom="paragraph">
              <wp:posOffset>291465</wp:posOffset>
            </wp:positionV>
            <wp:extent cx="428625" cy="809625"/>
            <wp:effectExtent l="0" t="0" r="9525" b="9525"/>
            <wp:wrapNone/>
            <wp:docPr id="1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6"/>
                    <pic:cNvPicPr>
                      <a:picLocks noChangeAspect="1"/>
                    </pic:cNvPicPr>
                  </pic:nvPicPr>
                  <pic:blipFill>
                    <a:blip r:embed="rId38"/>
                    <a:stretch>
                      <a:fillRect/>
                    </a:stretch>
                  </pic:blipFill>
                  <pic:spPr>
                    <a:xfrm>
                      <a:off x="0" y="0"/>
                      <a:ext cx="428625" cy="809625"/>
                    </a:xfrm>
                    <a:prstGeom prst="rect">
                      <a:avLst/>
                    </a:prstGeom>
                    <a:noFill/>
                    <a:ln>
                      <a:noFill/>
                    </a:ln>
                  </pic:spPr>
                </pic:pic>
              </a:graphicData>
            </a:graphic>
          </wp:anchor>
        </w:drawing>
      </w:r>
      <w:r>
        <w:rPr>
          <w:rFonts w:hint="eastAsia" w:ascii="Times New Roman" w:hAnsi="Times New Roman" w:eastAsia="宋体" w:cs="宋体"/>
          <w:b/>
          <w:bCs w:val="0"/>
          <w:caps w:val="0"/>
          <w:spacing w:val="0"/>
          <w:highlight w:val="none"/>
          <w:lang w:val="en-US" w:eastAsia="zh-CN"/>
        </w:rPr>
        <w:t>附图3 本项目评价范围图</w:t>
      </w:r>
      <w:bookmarkEnd w:id="25"/>
    </w:p>
    <w:p w14:paraId="1E1888FD">
      <w:pPr>
        <w:spacing w:line="240" w:lineRule="auto"/>
        <w:jc w:val="left"/>
        <w:outlineLvl w:val="9"/>
        <w:rPr>
          <w:rFonts w:hint="eastAsia" w:ascii="Times New Roman" w:hAnsi="Times New Roman" w:eastAsia="宋体" w:cs="宋体"/>
          <w:caps w:val="0"/>
          <w:spacing w:val="0"/>
          <w:highlight w:val="none"/>
          <w:lang w:val="en-US" w:eastAsia="zh-CN"/>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highlight w:val="none"/>
        </w:rPr>
        <mc:AlternateContent>
          <mc:Choice Requires="wps">
            <w:drawing>
              <wp:anchor distT="0" distB="0" distL="114300" distR="114300" simplePos="0" relativeHeight="251677696" behindDoc="0" locked="0" layoutInCell="1" allowOverlap="1">
                <wp:simplePos x="0" y="0"/>
                <wp:positionH relativeFrom="column">
                  <wp:posOffset>6338570</wp:posOffset>
                </wp:positionH>
                <wp:positionV relativeFrom="paragraph">
                  <wp:posOffset>4377690</wp:posOffset>
                </wp:positionV>
                <wp:extent cx="285750" cy="109220"/>
                <wp:effectExtent l="9525" t="9525" r="9525" b="14605"/>
                <wp:wrapNone/>
                <wp:docPr id="42" name="矩形 61"/>
                <wp:cNvGraphicFramePr/>
                <a:graphic xmlns:a="http://schemas.openxmlformats.org/drawingml/2006/main">
                  <a:graphicData uri="http://schemas.microsoft.com/office/word/2010/wordprocessingShape">
                    <wps:wsp>
                      <wps:cNvSpPr/>
                      <wps:spPr>
                        <a:xfrm>
                          <a:off x="0" y="0"/>
                          <a:ext cx="285750" cy="109220"/>
                        </a:xfrm>
                        <a:prstGeom prst="rect">
                          <a:avLst/>
                        </a:prstGeom>
                        <a:solidFill>
                          <a:srgbClr val="1D9FA5"/>
                        </a:solidFill>
                        <a:ln w="19050" cap="flat" cmpd="sng">
                          <a:solidFill>
                            <a:srgbClr val="30B2B8"/>
                          </a:solidFill>
                          <a:prstDash val="solid"/>
                          <a:miter/>
                          <a:headEnd type="none" w="med" len="med"/>
                          <a:tailEnd type="none" w="med" len="med"/>
                        </a:ln>
                      </wps:spPr>
                      <wps:bodyPr vert="horz" wrap="square" anchor="t" anchorCtr="0" upright="1"/>
                    </wps:wsp>
                  </a:graphicData>
                </a:graphic>
              </wp:anchor>
            </w:drawing>
          </mc:Choice>
          <mc:Fallback>
            <w:pict>
              <v:rect id="矩形 61" o:spid="_x0000_s1026" o:spt="1" style="position:absolute;left:0pt;margin-left:499.1pt;margin-top:344.7pt;height:8.6pt;width:22.5pt;z-index:251677696;mso-width-relative:page;mso-height-relative:page;" fillcolor="#1D9FA5" filled="t" stroked="t" coordsize="21600,21600" o:gfxdata="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Yq1o1dsAAAAMAQAADwAAAAAAAAABACAAAAAiAAAAZHJzL2Rvd25yZXYueG1sUEsBAhQAFAAAAAgA&#10;h07iQMEq2iwiAgAAUwQAAA4AAAAAAAAAAQAgAAAAKgEAAGRycy9lMm9Eb2MueG1sUEsFBgAAAAAG&#10;AAYAWQEAAL4FAAAAAA==&#10;">
                <v:fill on="t" focussize="0,0"/>
                <v:stroke weight="1.5pt" color="#30B2B8" joinstyle="miter"/>
                <v:imagedata o:title=""/>
                <o:lock v:ext="edit" aspectratio="f"/>
              </v:rect>
            </w:pict>
          </mc:Fallback>
        </mc:AlternateContent>
      </w:r>
      <w:r>
        <w:rPr>
          <w:rFonts w:ascii="Times New Roman" w:hAnsi="Times New Roman" w:eastAsia="宋体" w:cs="宋体"/>
          <w:caps w:val="0"/>
          <w:sz w:val="28"/>
          <w:highlight w:val="none"/>
        </w:rPr>
        <mc:AlternateContent>
          <mc:Choice Requires="wpg">
            <w:drawing>
              <wp:anchor distT="0" distB="0" distL="114300" distR="114300" simplePos="0" relativeHeight="251667456" behindDoc="0" locked="0" layoutInCell="1" allowOverlap="1">
                <wp:simplePos x="0" y="0"/>
                <wp:positionH relativeFrom="column">
                  <wp:posOffset>6353175</wp:posOffset>
                </wp:positionH>
                <wp:positionV relativeFrom="paragraph">
                  <wp:posOffset>3798570</wp:posOffset>
                </wp:positionV>
                <wp:extent cx="294005" cy="488315"/>
                <wp:effectExtent l="9525" t="9525" r="20320" b="16510"/>
                <wp:wrapNone/>
                <wp:docPr id="136" name="组合 136"/>
                <wp:cNvGraphicFramePr/>
                <a:graphic xmlns:a="http://schemas.openxmlformats.org/drawingml/2006/main">
                  <a:graphicData uri="http://schemas.microsoft.com/office/word/2010/wordprocessingGroup">
                    <wpg:wgp>
                      <wpg:cNvGrpSpPr/>
                      <wpg:grpSpPr>
                        <a:xfrm>
                          <a:off x="0" y="0"/>
                          <a:ext cx="294005" cy="488315"/>
                          <a:chOff x="11899" y="1150605"/>
                          <a:chExt cx="463" cy="769"/>
                        </a:xfrm>
                      </wpg:grpSpPr>
                      <wps:wsp>
                        <wps:cNvPr id="9" name="矩形 62"/>
                        <wps:cNvSpPr/>
                        <wps:spPr>
                          <a:xfrm>
                            <a:off x="11908" y="1150605"/>
                            <a:ext cx="450" cy="197"/>
                          </a:xfrm>
                          <a:prstGeom prst="rect">
                            <a:avLst/>
                          </a:prstGeom>
                          <a:solidFill>
                            <a:srgbClr val="FFFFFF"/>
                          </a:solidFill>
                          <a:ln w="19050" cap="flat" cmpd="sng">
                            <a:solidFill>
                              <a:srgbClr val="FF0000"/>
                            </a:solidFill>
                            <a:prstDash val="solid"/>
                            <a:miter/>
                            <a:headEnd type="none" w="med" len="med"/>
                            <a:tailEnd type="none" w="med" len="med"/>
                          </a:ln>
                        </wps:spPr>
                        <wps:bodyPr vert="horz" wrap="square" anchor="t" anchorCtr="0" upright="1"/>
                      </wps:wsp>
                      <wps:wsp>
                        <wps:cNvPr id="10" name="矩形 61"/>
                        <wps:cNvSpPr/>
                        <wps:spPr>
                          <a:xfrm>
                            <a:off x="11899" y="1151202"/>
                            <a:ext cx="450" cy="172"/>
                          </a:xfrm>
                          <a:prstGeom prst="rect">
                            <a:avLst/>
                          </a:prstGeom>
                          <a:solidFill>
                            <a:srgbClr val="FFFFFF"/>
                          </a:solidFill>
                          <a:ln w="19050" cap="flat" cmpd="sng">
                            <a:solidFill>
                              <a:srgbClr val="FFFF00"/>
                            </a:solidFill>
                            <a:prstDash val="solid"/>
                            <a:miter/>
                            <a:headEnd type="none" w="med" len="med"/>
                            <a:tailEnd type="none" w="med" len="med"/>
                          </a:ln>
                        </wps:spPr>
                        <wps:bodyPr vert="horz" wrap="square" anchor="t" anchorCtr="0" upright="1"/>
                      </wps:wsp>
                      <wps:wsp>
                        <wps:cNvPr id="11" name="矩形 60"/>
                        <wps:cNvSpPr/>
                        <wps:spPr>
                          <a:xfrm>
                            <a:off x="11912" y="1150892"/>
                            <a:ext cx="450" cy="166"/>
                          </a:xfrm>
                          <a:prstGeom prst="rect">
                            <a:avLst/>
                          </a:prstGeom>
                          <a:solidFill>
                            <a:srgbClr val="FFFFFF"/>
                          </a:solidFill>
                          <a:ln w="19050" cap="flat" cmpd="sng">
                            <a:solidFill>
                              <a:srgbClr val="00F700"/>
                            </a:solidFill>
                            <a:prstDash val="solid"/>
                            <a:miter/>
                            <a:headEnd type="none" w="med" len="med"/>
                            <a:tailEnd type="none" w="med" len="med"/>
                          </a:ln>
                        </wps:spPr>
                        <wps:bodyPr vert="horz" wrap="square" anchor="t" anchorCtr="0" upright="1"/>
                      </wps:wsp>
                    </wpg:wgp>
                  </a:graphicData>
                </a:graphic>
              </wp:anchor>
            </w:drawing>
          </mc:Choice>
          <mc:Fallback>
            <w:pict>
              <v:group id="_x0000_s1026" o:spid="_x0000_s1026" o:spt="203" style="position:absolute;left:0pt;margin-left:500.25pt;margin-top:299.1pt;height:38.45pt;width:23.15pt;z-index:251667456;mso-width-relative:page;mso-height-relative:page;" coordorigin="11899,1150605" coordsize="463,769" o:gfxdata="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&#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BcfCJz2wAAAA0BAAAPAAAAAAAAAAEAIAAAACIAAABk&#10;cnMvZG93bnJldi54bWxQSwECFAAUAAAACACHTuJAHGugHucCAAB9CgAADgAAAAAAAAABACAAAAAq&#10;AQAAZHJzL2Uyb0RvYy54bWxQSwUGAAAAAAYABgBZAQAAgwYAAAAA&#10;">
                <o:lock v:ext="edit" aspectratio="f"/>
                <v:rect id="矩形 62" o:spid="_x0000_s1026" o:spt="1" style="position:absolute;left:11908;top:1150605;height:197;width:450;" fillcolor="#FFFFFF" filled="t" stroked="t" coordsize="21600,21600" o:gfxdata="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2XYaLugAAANoA&#10;AAAPAAAAAAAAAAEAIAAAACIAAABkcnMvZG93bnJldi54bWxQSwECFAAUAAAACACHTuJAMy8FnjsA&#10;AAA5AAAAEAAAAAAAAAABACAAAAAJAQAAZHJzL3NoYXBleG1sLnhtbFBLBQYAAAAABgAGAFsBAACz&#10;AwAAAAA=&#10;">
                  <v:fill on="t" focussize="0,0"/>
                  <v:stroke weight="1.5pt" color="#FF0000" joinstyle="miter"/>
                  <v:imagedata o:title=""/>
                  <o:lock v:ext="edit" aspectratio="f"/>
                </v:rect>
                <v:rect id="矩形 61" o:spid="_x0000_s1026" o:spt="1" style="position:absolute;left:11899;top:1151202;height:172;width:450;" fillcolor="#FFFFFF" filled="t" stroked="t" coordsize="21600,21600" o:gfxdata="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PxX574A&#10;AADbAAAADwAAAAAAAAABACAAAAAiAAAAZHJzL2Rvd25yZXYueG1sUEsBAhQAFAAAAAgAh07iQDMv&#10;BZ47AAAAOQAAABAAAAAAAAAAAQAgAAAADQEAAGRycy9zaGFwZXhtbC54bWxQSwUGAAAAAAYABgBb&#10;AQAAtwMAAAAA&#10;">
                  <v:fill on="t" focussize="0,0"/>
                  <v:stroke weight="1.5pt" color="#FFFF00" joinstyle="miter"/>
                  <v:imagedata o:title=""/>
                  <o:lock v:ext="edit" aspectratio="f"/>
                </v:rect>
                <v:rect id="矩形 60" o:spid="_x0000_s1026" o:spt="1" style="position:absolute;left:11912;top:1150892;height:166;width:450;" fillcolor="#FFFFFF" filled="t" stroked="t" coordsize="21600,21600" o:gfxdata="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0zGe8AAAA&#10;2wAAAA8AAAAAAAAAAQAgAAAAIgAAAGRycy9kb3ducmV2LnhtbFBLAQIUABQAAAAIAIdO4kAzLwWe&#10;OwAAADkAAAAQAAAAAAAAAAEAIAAAAAsBAABkcnMvc2hhcGV4bWwueG1sUEsFBgAAAAAGAAYAWwEA&#10;ALUDAAAAAA==&#10;">
                  <v:fill on="t" focussize="0,0"/>
                  <v:stroke weight="1.5pt" color="#00F700" joinstyle="miter"/>
                  <v:imagedata o:title=""/>
                  <o:lock v:ext="edit" aspectratio="f"/>
                </v:rect>
              </v:group>
            </w:pict>
          </mc:Fallback>
        </mc:AlternateContent>
      </w:r>
      <w:r>
        <w:rPr>
          <w:rFonts w:hint="eastAsia" w:ascii="Times New Roman" w:hAnsi="Times New Roman" w:eastAsia="宋体" w:cs="宋体"/>
          <w:caps w:val="0"/>
          <w:spacing w:val="0"/>
          <w:sz w:val="28"/>
          <w:highlight w:val="none"/>
        </w:rPr>
        <mc:AlternateContent>
          <mc:Choice Requires="wps">
            <w:drawing>
              <wp:anchor distT="0" distB="0" distL="114300" distR="114300" simplePos="0" relativeHeight="251664384" behindDoc="0" locked="0" layoutInCell="1" allowOverlap="1">
                <wp:simplePos x="0" y="0"/>
                <wp:positionH relativeFrom="column">
                  <wp:posOffset>6127115</wp:posOffset>
                </wp:positionH>
                <wp:positionV relativeFrom="paragraph">
                  <wp:posOffset>3504565</wp:posOffset>
                </wp:positionV>
                <wp:extent cx="1606550" cy="1831340"/>
                <wp:effectExtent l="5080" t="4445" r="7620" b="12065"/>
                <wp:wrapNone/>
                <wp:docPr id="8" name="文本框 63"/>
                <wp:cNvGraphicFramePr/>
                <a:graphic xmlns:a="http://schemas.openxmlformats.org/drawingml/2006/main">
                  <a:graphicData uri="http://schemas.microsoft.com/office/word/2010/wordprocessingShape">
                    <wps:wsp>
                      <wps:cNvSpPr txBox="1"/>
                      <wps:spPr>
                        <a:xfrm>
                          <a:off x="0" y="0"/>
                          <a:ext cx="1606550" cy="18313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DA0E4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lang w:val="en-US" w:eastAsia="zh-CN"/>
                              </w:rPr>
                            </w:pPr>
                            <w:r>
                              <w:rPr>
                                <w:rFonts w:hint="eastAsia"/>
                                <w:lang w:val="en-US" w:eastAsia="zh-CN"/>
                              </w:rPr>
                              <w:t>图例</w:t>
                            </w:r>
                          </w:p>
                          <w:p w14:paraId="04DADD9F">
                            <w:pPr>
                              <w:pStyle w:val="125"/>
                              <w:ind w:firstLine="720" w:firstLineChars="300"/>
                              <w:rPr>
                                <w:rFonts w:hint="eastAsia" w:ascii="宋体" w:hAnsi="宋体" w:eastAsia="宋体" w:cs="宋体"/>
                                <w:lang w:val="en-US" w:eastAsia="zh-CN"/>
                              </w:rPr>
                            </w:pPr>
                            <w:r>
                              <w:rPr>
                                <w:rFonts w:hint="eastAsia" w:ascii="宋体" w:hAnsi="宋体" w:eastAsia="宋体" w:cs="宋体"/>
                                <w:lang w:val="en-US" w:eastAsia="zh-CN"/>
                              </w:rPr>
                              <w:t>本项目</w:t>
                            </w:r>
                          </w:p>
                          <w:p w14:paraId="0B05EE06">
                            <w:pPr>
                              <w:pStyle w:val="125"/>
                              <w:ind w:firstLine="720" w:firstLineChars="300"/>
                              <w:rPr>
                                <w:rFonts w:hint="eastAsia" w:ascii="宋体" w:hAnsi="宋体" w:eastAsia="宋体" w:cs="宋体"/>
                                <w:lang w:val="en-US" w:eastAsia="zh-CN"/>
                              </w:rPr>
                            </w:pPr>
                            <w:r>
                              <w:rPr>
                                <w:rFonts w:hint="eastAsia" w:ascii="宋体" w:hAnsi="宋体" w:eastAsia="宋体" w:cs="宋体"/>
                                <w:lang w:val="en-US" w:eastAsia="zh-CN"/>
                              </w:rPr>
                              <w:t>噪声50m范围</w:t>
                            </w:r>
                          </w:p>
                          <w:p w14:paraId="38AF9D55">
                            <w:pPr>
                              <w:pStyle w:val="125"/>
                              <w:ind w:firstLine="720" w:firstLineChars="300"/>
                              <w:rPr>
                                <w:rFonts w:hint="eastAsia" w:ascii="宋体" w:hAnsi="宋体" w:eastAsia="宋体" w:cs="宋体"/>
                                <w:lang w:val="en-US" w:eastAsia="zh-CN"/>
                              </w:rPr>
                            </w:pPr>
                            <w:r>
                              <w:rPr>
                                <w:rFonts w:hint="eastAsia" w:ascii="宋体" w:hAnsi="宋体" w:eastAsia="宋体" w:cs="宋体"/>
                                <w:lang w:val="en-US" w:eastAsia="zh-CN"/>
                              </w:rPr>
                              <w:t>大气500m范围</w:t>
                            </w:r>
                          </w:p>
                          <w:p w14:paraId="2ABB6610">
                            <w:pPr>
                              <w:pStyle w:val="125"/>
                              <w:ind w:firstLine="720" w:firstLineChars="300"/>
                              <w:rPr>
                                <w:rFonts w:hint="default" w:ascii="宋体" w:hAnsi="宋体" w:eastAsia="宋体" w:cs="宋体"/>
                                <w:lang w:val="en-US" w:eastAsia="zh-CN"/>
                              </w:rPr>
                            </w:pPr>
                            <w:r>
                              <w:rPr>
                                <w:rFonts w:hint="eastAsia" w:ascii="宋体" w:hAnsi="宋体" w:eastAsia="宋体" w:cs="宋体"/>
                                <w:lang w:val="en-US" w:eastAsia="zh-CN"/>
                              </w:rPr>
                              <w:t>保护目标</w:t>
                            </w:r>
                          </w:p>
                        </w:txbxContent>
                      </wps:txbx>
                      <wps:bodyPr wrap="square" upright="1"/>
                    </wps:wsp>
                  </a:graphicData>
                </a:graphic>
              </wp:anchor>
            </w:drawing>
          </mc:Choice>
          <mc:Fallback>
            <w:pict>
              <v:shape id="文本框 63" o:spid="_x0000_s1026" o:spt="202" type="#_x0000_t202" style="position:absolute;left:0pt;margin-left:482.45pt;margin-top:275.95pt;height:144.2pt;width:126.5pt;z-index:251664384;mso-width-relative:page;mso-height-relative:page;" fillcolor="#FFFFFF" filled="t" stroked="t" coordsize="21600,21600" o:gfxdata="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CZgTH9oAAAAMAQAA&#10;DwAAAAAAAAABACAAAAAiAAAAZHJzL2Rvd25yZXYueG1sUEsBAhQAFAAAAAgAh07iQMHLVIcXAgAA&#10;RgQAAA4AAAAAAAAAAQAgAAAAKQEAAGRycy9lMm9Eb2MueG1sUEsFBgAAAAAGAAYAWQEAALIFAAAA&#10;AA==&#10;">
                <v:fill on="t" focussize="0,0"/>
                <v:stroke color="#000000" joinstyle="miter"/>
                <v:imagedata o:title=""/>
                <o:lock v:ext="edit" aspectratio="f"/>
                <v:textbox>
                  <w:txbxContent>
                    <w:p w14:paraId="1DA0E4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lang w:val="en-US" w:eastAsia="zh-CN"/>
                        </w:rPr>
                      </w:pPr>
                      <w:r>
                        <w:rPr>
                          <w:rFonts w:hint="eastAsia"/>
                          <w:lang w:val="en-US" w:eastAsia="zh-CN"/>
                        </w:rPr>
                        <w:t>图例</w:t>
                      </w:r>
                    </w:p>
                    <w:p w14:paraId="04DADD9F">
                      <w:pPr>
                        <w:pStyle w:val="125"/>
                        <w:ind w:firstLine="720" w:firstLineChars="300"/>
                        <w:rPr>
                          <w:rFonts w:hint="eastAsia" w:ascii="宋体" w:hAnsi="宋体" w:eastAsia="宋体" w:cs="宋体"/>
                          <w:lang w:val="en-US" w:eastAsia="zh-CN"/>
                        </w:rPr>
                      </w:pPr>
                      <w:r>
                        <w:rPr>
                          <w:rFonts w:hint="eastAsia" w:ascii="宋体" w:hAnsi="宋体" w:eastAsia="宋体" w:cs="宋体"/>
                          <w:lang w:val="en-US" w:eastAsia="zh-CN"/>
                        </w:rPr>
                        <w:t>本项目</w:t>
                      </w:r>
                    </w:p>
                    <w:p w14:paraId="0B05EE06">
                      <w:pPr>
                        <w:pStyle w:val="125"/>
                        <w:ind w:firstLine="720" w:firstLineChars="300"/>
                        <w:rPr>
                          <w:rFonts w:hint="eastAsia" w:ascii="宋体" w:hAnsi="宋体" w:eastAsia="宋体" w:cs="宋体"/>
                          <w:lang w:val="en-US" w:eastAsia="zh-CN"/>
                        </w:rPr>
                      </w:pPr>
                      <w:r>
                        <w:rPr>
                          <w:rFonts w:hint="eastAsia" w:ascii="宋体" w:hAnsi="宋体" w:eastAsia="宋体" w:cs="宋体"/>
                          <w:lang w:val="en-US" w:eastAsia="zh-CN"/>
                        </w:rPr>
                        <w:t>噪声50m范围</w:t>
                      </w:r>
                    </w:p>
                    <w:p w14:paraId="38AF9D55">
                      <w:pPr>
                        <w:pStyle w:val="125"/>
                        <w:ind w:firstLine="720" w:firstLineChars="300"/>
                        <w:rPr>
                          <w:rFonts w:hint="eastAsia" w:ascii="宋体" w:hAnsi="宋体" w:eastAsia="宋体" w:cs="宋体"/>
                          <w:lang w:val="en-US" w:eastAsia="zh-CN"/>
                        </w:rPr>
                      </w:pPr>
                      <w:r>
                        <w:rPr>
                          <w:rFonts w:hint="eastAsia" w:ascii="宋体" w:hAnsi="宋体" w:eastAsia="宋体" w:cs="宋体"/>
                          <w:lang w:val="en-US" w:eastAsia="zh-CN"/>
                        </w:rPr>
                        <w:t>大气500m范围</w:t>
                      </w:r>
                    </w:p>
                    <w:p w14:paraId="2ABB6610">
                      <w:pPr>
                        <w:pStyle w:val="125"/>
                        <w:ind w:firstLine="720" w:firstLineChars="300"/>
                        <w:rPr>
                          <w:rFonts w:hint="default" w:ascii="宋体" w:hAnsi="宋体" w:eastAsia="宋体" w:cs="宋体"/>
                          <w:lang w:val="en-US" w:eastAsia="zh-CN"/>
                        </w:rPr>
                      </w:pPr>
                      <w:r>
                        <w:rPr>
                          <w:rFonts w:hint="eastAsia" w:ascii="宋体" w:hAnsi="宋体" w:eastAsia="宋体" w:cs="宋体"/>
                          <w:lang w:val="en-US" w:eastAsia="zh-CN"/>
                        </w:rPr>
                        <w:t>保护目标</w:t>
                      </w:r>
                    </w:p>
                  </w:txbxContent>
                </v:textbox>
              </v:shape>
            </w:pict>
          </mc:Fallback>
        </mc:AlternateContent>
      </w:r>
      <w:r>
        <w:rPr>
          <w:rFonts w:ascii="Times New Roman" w:hAnsi="Times New Roman" w:eastAsia="宋体" w:cs="宋体"/>
          <w:caps w:val="0"/>
          <w:sz w:val="28"/>
          <w:highlight w:val="none"/>
        </w:rPr>
        <mc:AlternateContent>
          <mc:Choice Requires="wps">
            <w:drawing>
              <wp:anchor distT="0" distB="0" distL="114300" distR="114300" simplePos="0" relativeHeight="251670528" behindDoc="0" locked="0" layoutInCell="1" allowOverlap="1">
                <wp:simplePos x="0" y="0"/>
                <wp:positionH relativeFrom="column">
                  <wp:posOffset>2204720</wp:posOffset>
                </wp:positionH>
                <wp:positionV relativeFrom="paragraph">
                  <wp:posOffset>1714500</wp:posOffset>
                </wp:positionV>
                <wp:extent cx="786130" cy="626745"/>
                <wp:effectExtent l="4445" t="4445" r="9525" b="92710"/>
                <wp:wrapNone/>
                <wp:docPr id="16" name="矩形标注 16"/>
                <wp:cNvGraphicFramePr/>
                <a:graphic xmlns:a="http://schemas.openxmlformats.org/drawingml/2006/main">
                  <a:graphicData uri="http://schemas.microsoft.com/office/word/2010/wordprocessingShape">
                    <wps:wsp>
                      <wps:cNvSpPr/>
                      <wps:spPr>
                        <a:xfrm>
                          <a:off x="3467100" y="3273425"/>
                          <a:ext cx="786130" cy="626745"/>
                        </a:xfrm>
                        <a:prstGeom prst="wedgeRectCallout">
                          <a:avLst/>
                        </a:prstGeom>
                        <a:no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C5FFC41">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b/>
                                <w:bCs w:val="0"/>
                                <w:color w:val="000000" w:themeColor="text1"/>
                                <w:lang w:val="en-US" w:eastAsia="zh-CN"/>
                                <w14:textFill>
                                  <w14:solidFill>
                                    <w14:schemeClr w14:val="tx1"/>
                                  </w14:solidFill>
                                </w14:textFill>
                              </w:rPr>
                            </w:pPr>
                            <w:r>
                              <w:rPr>
                                <w:rFonts w:hint="eastAsia"/>
                                <w:b/>
                                <w:bCs w:val="0"/>
                                <w:color w:val="000000" w:themeColor="text1"/>
                                <w:lang w:val="en-US" w:eastAsia="zh-CN"/>
                                <w14:textFill>
                                  <w14:solidFill>
                                    <w14:schemeClr w14:val="tx1"/>
                                  </w14:solidFill>
                                </w14:textFill>
                              </w:rPr>
                              <w:t>梨树博物馆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3.6pt;margin-top:135pt;height:49.35pt;width:61.9pt;z-index:251670528;v-text-anchor:middle;mso-width-relative:page;mso-height-relative:page;" filled="f" stroked="t" coordsize="21600,21600" o:gfxdata="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2Dt1yNcAAAALAQAADwAAAAAAAAAB&#10;ACAAAAAiAAAAZHJzL2Rvd25yZXYueG1sUEsBAhQAFAAAAAgAh07iQCgkCn2DAgAA3QQAAA4AAAAA&#10;AAAAAQAgAAAAJgEAAGRycy9lMm9Eb2MueG1sUEsFBgAAAAAGAAYAWQEAABsGAAAAAA==&#10;" adj="6300,24300">
                <v:fill on="f" focussize="0,0"/>
                <v:stroke weight="0.25pt" color="#000000 [3213]" joinstyle="round"/>
                <v:imagedata o:title=""/>
                <o:lock v:ext="edit" aspectratio="f"/>
                <v:textbox>
                  <w:txbxContent>
                    <w:p w14:paraId="3C5FFC41">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b/>
                          <w:bCs w:val="0"/>
                          <w:color w:val="000000" w:themeColor="text1"/>
                          <w:lang w:val="en-US" w:eastAsia="zh-CN"/>
                          <w14:textFill>
                            <w14:solidFill>
                              <w14:schemeClr w14:val="tx1"/>
                            </w14:solidFill>
                          </w14:textFill>
                        </w:rPr>
                      </w:pPr>
                      <w:r>
                        <w:rPr>
                          <w:rFonts w:hint="eastAsia"/>
                          <w:b/>
                          <w:bCs w:val="0"/>
                          <w:color w:val="000000" w:themeColor="text1"/>
                          <w:lang w:val="en-US" w:eastAsia="zh-CN"/>
                          <w14:textFill>
                            <w14:solidFill>
                              <w14:schemeClr w14:val="tx1"/>
                            </w14:solidFill>
                          </w14:textFill>
                        </w:rPr>
                        <w:t>梨树博物馆</w:t>
                      </w:r>
                    </w:p>
                  </w:txbxContent>
                </v:textbox>
              </v:shape>
            </w:pict>
          </mc:Fallback>
        </mc:AlternateContent>
      </w:r>
      <w:r>
        <w:rPr>
          <w:rFonts w:hint="eastAsia" w:ascii="Times New Roman" w:hAnsi="Times New Roman" w:eastAsia="宋体" w:cs="宋体"/>
          <w:caps w:val="0"/>
          <w:spacing w:val="0"/>
          <w:highlight w:val="none"/>
        </w:rPr>
        <w:pict>
          <v:shape id="_x0000_s1079" o:spid="_x0000_s1079" o:spt="75" type="#_x0000_t75" style="position:absolute;left:0pt;margin-left:494.25pt;margin-top:372.2pt;height:47.25pt;width:111pt;z-index:251666432;mso-width-relative:page;mso-height-relative:page;" o:ole="t" filled="f" o:preferrelative="t" stroked="f" coordsize="21600,21600">
            <v:path/>
            <v:fill on="f" focussize="0,0"/>
            <v:stroke on="f"/>
            <v:imagedata r:id="rId47" o:title=""/>
            <o:lock v:ext="edit" aspectratio="f"/>
          </v:shape>
          <o:OLEObject Type="Embed" ProgID="Visio.Drawing.15" ShapeID="_x0000_s1079" DrawAspect="Content" ObjectID="_1468075735" r:id="rId46">
            <o:LockedField>false</o:LockedField>
          </o:OLEObject>
        </w:pict>
      </w:r>
      <w:r>
        <w:rPr>
          <w:rFonts w:ascii="Times New Roman" w:hAnsi="Times New Roman" w:eastAsia="宋体" w:cs="宋体"/>
          <w:caps w:val="0"/>
          <w:highlight w:val="none"/>
        </w:rPr>
        <w:drawing>
          <wp:inline distT="0" distB="0" distL="114300" distR="114300">
            <wp:extent cx="7411085" cy="5326380"/>
            <wp:effectExtent l="0" t="0" r="18415" b="7620"/>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48"/>
                    <a:stretch>
                      <a:fillRect/>
                    </a:stretch>
                  </pic:blipFill>
                  <pic:spPr>
                    <a:xfrm>
                      <a:off x="0" y="0"/>
                      <a:ext cx="7411085" cy="5326380"/>
                    </a:xfrm>
                    <a:prstGeom prst="rect">
                      <a:avLst/>
                    </a:prstGeom>
                    <a:noFill/>
                    <a:ln>
                      <a:noFill/>
                    </a:ln>
                  </pic:spPr>
                </pic:pic>
              </a:graphicData>
            </a:graphic>
          </wp:inline>
        </w:drawing>
      </w:r>
      <w:r>
        <w:rPr>
          <w:rFonts w:hint="eastAsia" w:ascii="Times New Roman" w:hAnsi="Times New Roman" w:eastAsia="宋体" w:cs="宋体"/>
          <w:caps w:val="0"/>
          <w:spacing w:val="0"/>
          <w:highlight w:val="none"/>
          <w:lang w:val="en-US" w:eastAsia="zh-CN"/>
        </w:rPr>
        <w:t xml:space="preserve"> </w:t>
      </w:r>
    </w:p>
    <w:p w14:paraId="55302666">
      <w:pPr>
        <w:pStyle w:val="19"/>
        <w:spacing w:line="240" w:lineRule="auto"/>
        <w:ind w:left="0" w:leftChars="0" w:firstLine="0" w:firstLineChars="0"/>
        <w:outlineLvl w:val="0"/>
        <w:rPr>
          <w:rFonts w:hint="default" w:ascii="Times New Roman" w:hAnsi="Times New Roman" w:eastAsia="宋体" w:cs="宋体"/>
          <w:b/>
          <w:bCs w:val="0"/>
          <w:caps w:val="0"/>
          <w:sz w:val="24"/>
          <w:szCs w:val="18"/>
          <w:highlight w:val="none"/>
          <w:lang w:val="en-US" w:eastAsia="zh-CN"/>
        </w:rPr>
      </w:pPr>
      <w:bookmarkStart w:id="26" w:name="_Toc29841"/>
      <w:r>
        <w:rPr>
          <w:rFonts w:hint="eastAsia" w:ascii="Times New Roman" w:hAnsi="Times New Roman" w:eastAsia="宋体" w:cs="宋体"/>
          <w:b/>
          <w:bCs w:val="0"/>
          <w:caps w:val="0"/>
          <w:sz w:val="24"/>
          <w:szCs w:val="18"/>
          <w:highlight w:val="none"/>
          <w:lang w:val="en-US" w:eastAsia="zh-CN"/>
        </w:rPr>
        <w:t>附图4 环境管控单元分布图</w:t>
      </w:r>
      <w:bookmarkEnd w:id="26"/>
      <w:r>
        <w:rPr>
          <w:rFonts w:hint="eastAsia" w:ascii="Times New Roman" w:hAnsi="Times New Roman" w:eastAsia="宋体" w:cs="宋体"/>
          <w:b/>
          <w:bCs w:val="0"/>
          <w:caps w:val="0"/>
          <w:sz w:val="24"/>
          <w:szCs w:val="18"/>
          <w:highlight w:val="none"/>
          <w:lang w:val="en-US" w:eastAsia="zh-CN"/>
        </w:rPr>
        <w:t xml:space="preserve"> </w:t>
      </w:r>
    </w:p>
    <w:p w14:paraId="6B8EA62A">
      <w:pPr>
        <w:pStyle w:val="19"/>
        <w:rPr>
          <w:rFonts w:hint="eastAsia" w:ascii="Times New Roman" w:hAnsi="Times New Roman" w:eastAsia="宋体" w:cs="宋体"/>
          <w:caps w:val="0"/>
          <w:highlight w:val="none"/>
          <w:lang w:val="en-US" w:eastAsia="zh-CN"/>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ascii="Times New Roman" w:hAnsi="Times New Roman" w:eastAsia="宋体" w:cs="宋体"/>
          <w:caps w:val="0"/>
          <w:sz w:val="28"/>
          <w:highlight w:val="none"/>
        </w:rPr>
        <mc:AlternateContent>
          <mc:Choice Requires="wps">
            <w:drawing>
              <wp:anchor distT="0" distB="0" distL="114300" distR="114300" simplePos="0" relativeHeight="251668480" behindDoc="0" locked="0" layoutInCell="1" allowOverlap="1">
                <wp:simplePos x="0" y="0"/>
                <wp:positionH relativeFrom="column">
                  <wp:posOffset>1331595</wp:posOffset>
                </wp:positionH>
                <wp:positionV relativeFrom="paragraph">
                  <wp:posOffset>3411220</wp:posOffset>
                </wp:positionV>
                <wp:extent cx="654685" cy="262255"/>
                <wp:effectExtent l="4445" t="4445" r="7620" b="133350"/>
                <wp:wrapNone/>
                <wp:docPr id="24" name="矩形标注 24"/>
                <wp:cNvGraphicFramePr/>
                <a:graphic xmlns:a="http://schemas.openxmlformats.org/drawingml/2006/main">
                  <a:graphicData uri="http://schemas.microsoft.com/office/word/2010/wordprocessingShape">
                    <wps:wsp>
                      <wps:cNvSpPr/>
                      <wps:spPr>
                        <a:xfrm>
                          <a:off x="2525395" y="4551045"/>
                          <a:ext cx="654685" cy="262255"/>
                        </a:xfrm>
                        <a:prstGeom prst="wedgeRectCallout">
                          <a:avLst>
                            <a:gd name="adj1" fmla="val -45091"/>
                            <a:gd name="adj2" fmla="val 92649"/>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13EB476">
                            <w:pPr>
                              <w:spacing w:line="240" w:lineRule="auto"/>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4.85pt;margin-top:268.6pt;height:20.65pt;width:51.55pt;z-index:251668480;v-text-anchor:middle;mso-width-relative:page;mso-height-relative:page;" fillcolor="#FFFFFF [3212]" filled="t" stroked="t" coordsize="21600,21600" o:gfxdata="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Iy5bd2QAAAAsBAAAPAAAAAAAAAAEAIAAAACIAAABkcnMv&#10;ZG93bnJldi54bWxQSwECFAAUAAAACACHTuJAmMRNBa0CAABYBQAADgAAAAAAAAABACAAAAAoAQAA&#10;ZHJzL2Uyb0RvYy54bWxQSwUGAAAAAAYABgBZAQAARwYAAAAA&#10;" adj="1060,30812">
                <v:fill on="t" focussize="0,0"/>
                <v:stroke weight="0.5pt" color="#000000 [3213]" joinstyle="round"/>
                <v:imagedata o:title=""/>
                <o:lock v:ext="edit" aspectratio="f"/>
                <v:textbox>
                  <w:txbxContent>
                    <w:p w14:paraId="613EB476">
                      <w:pPr>
                        <w:spacing w:line="240" w:lineRule="auto"/>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v:textbox>
              </v:shape>
            </w:pict>
          </mc:Fallback>
        </mc:AlternateContent>
      </w:r>
      <w:r>
        <w:rPr>
          <w:rFonts w:hint="eastAsia" w:ascii="Times New Roman" w:hAnsi="Times New Roman" w:eastAsia="宋体" w:cs="宋体"/>
          <w:caps w:val="0"/>
          <w:highlight w:val="none"/>
          <w:lang w:val="en-US" w:eastAsia="zh-CN"/>
        </w:rPr>
        <w:drawing>
          <wp:inline distT="0" distB="0" distL="114300" distR="114300">
            <wp:extent cx="6713855" cy="4749165"/>
            <wp:effectExtent l="0" t="0" r="10795" b="13335"/>
            <wp:docPr id="146" name="图片 98" descr="971785f5e851cc10cc77fa6b452f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98" descr="971785f5e851cc10cc77fa6b452fc50"/>
                    <pic:cNvPicPr>
                      <a:picLocks noChangeAspect="1"/>
                    </pic:cNvPicPr>
                  </pic:nvPicPr>
                  <pic:blipFill>
                    <a:blip r:embed="rId49"/>
                    <a:stretch>
                      <a:fillRect/>
                    </a:stretch>
                  </pic:blipFill>
                  <pic:spPr>
                    <a:xfrm>
                      <a:off x="0" y="0"/>
                      <a:ext cx="6713855" cy="4749165"/>
                    </a:xfrm>
                    <a:prstGeom prst="rect">
                      <a:avLst/>
                    </a:prstGeom>
                    <a:noFill/>
                    <a:ln>
                      <a:noFill/>
                    </a:ln>
                  </pic:spPr>
                </pic:pic>
              </a:graphicData>
            </a:graphic>
          </wp:inline>
        </w:drawing>
      </w:r>
    </w:p>
    <w:p w14:paraId="431A7267">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outlineLvl w:val="0"/>
        <w:rPr>
          <w:rFonts w:hint="default" w:ascii="Times New Roman" w:hAnsi="Times New Roman" w:eastAsia="宋体" w:cs="宋体"/>
          <w:b/>
          <w:bCs/>
          <w:caps w:val="0"/>
          <w:color w:val="auto"/>
          <w:highlight w:val="none"/>
          <w:lang w:val="en-US" w:eastAsia="zh-CN"/>
        </w:rPr>
      </w:pPr>
      <w:bookmarkStart w:id="27" w:name="_Toc30118"/>
      <w:r>
        <w:rPr>
          <w:rFonts w:hint="eastAsia" w:ascii="Times New Roman" w:hAnsi="Times New Roman" w:eastAsia="宋体" w:cs="宋体"/>
          <w:b/>
          <w:bCs/>
          <w:caps w:val="0"/>
          <w:color w:val="auto"/>
          <w:highlight w:val="none"/>
          <w:lang w:val="en-US" w:eastAsia="zh-CN"/>
        </w:rPr>
        <w:t>附图5 本项目分区防渗图</w:t>
      </w:r>
      <w:bookmarkEnd w:id="27"/>
    </w:p>
    <w:p w14:paraId="061D642C">
      <w:pPr>
        <w:pStyle w:val="2"/>
        <w:rPr>
          <w:rFonts w:ascii="Times New Roman" w:hAnsi="Times New Roman" w:eastAsia="宋体" w:cs="宋体"/>
          <w:caps w:val="0"/>
          <w:color w:val="auto"/>
          <w:highlight w:val="none"/>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宋体"/>
          <w:caps w:val="0"/>
          <w:spacing w:val="0"/>
          <w:highlight w:val="none"/>
        </w:rPr>
        <w:pict>
          <v:shape id="_x0000_s1081" o:spid="_x0000_s1081" o:spt="75" type="#_x0000_t75" style="position:absolute;left:0pt;margin-left:453.75pt;margin-top:336.1pt;height:47.25pt;width:111pt;z-index:251674624;mso-width-relative:page;mso-height-relative:page;" o:ole="t" filled="f" o:preferrelative="t" stroked="f" coordsize="21600,21600">
            <v:path/>
            <v:fill on="f" focussize="0,0"/>
            <v:stroke on="f"/>
            <v:imagedata r:id="rId43" o:title=""/>
            <o:lock v:ext="edit" aspectratio="f"/>
          </v:shape>
          <o:OLEObject Type="Embed" ProgID="Visio.Drawing.15" ShapeID="_x0000_s1081" DrawAspect="Content" ObjectID="_1468075736" r:id="rId50">
            <o:LockedField>false</o:LockedField>
          </o:OLEObject>
        </w:pict>
      </w:r>
      <w:r>
        <w:rPr>
          <w:rFonts w:ascii="Times New Roman" w:hAnsi="Times New Roman" w:eastAsia="宋体" w:cs="宋体"/>
          <w:caps w:val="0"/>
          <w:sz w:val="24"/>
          <w:highlight w:val="none"/>
        </w:rPr>
        <mc:AlternateContent>
          <mc:Choice Requires="wps">
            <w:drawing>
              <wp:anchor distT="0" distB="0" distL="114300" distR="114300" simplePos="0" relativeHeight="251673600" behindDoc="0" locked="0" layoutInCell="1" allowOverlap="1">
                <wp:simplePos x="0" y="0"/>
                <wp:positionH relativeFrom="column">
                  <wp:posOffset>5960745</wp:posOffset>
                </wp:positionH>
                <wp:positionV relativeFrom="paragraph">
                  <wp:posOffset>3943985</wp:posOffset>
                </wp:positionV>
                <wp:extent cx="309880" cy="135255"/>
                <wp:effectExtent l="12700" t="12700" r="20320" b="23495"/>
                <wp:wrapNone/>
                <wp:docPr id="14" name="矩形 14"/>
                <wp:cNvGraphicFramePr/>
                <a:graphic xmlns:a="http://schemas.openxmlformats.org/drawingml/2006/main">
                  <a:graphicData uri="http://schemas.microsoft.com/office/word/2010/wordprocessingShape">
                    <wps:wsp>
                      <wps:cNvSpPr/>
                      <wps:spPr>
                        <a:xfrm>
                          <a:off x="0" y="0"/>
                          <a:ext cx="309880" cy="135255"/>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9.35pt;margin-top:310.55pt;height:10.65pt;width:24.4pt;z-index:251673600;v-text-anchor:middle;mso-width-relative:page;mso-height-relative:page;" fillcolor="#FF0000" filled="t" stroked="t" coordsize="21600,21600" o:gfxdata="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k19002gAAAAsBAAAPAAAAAAAAAAEAIAAAACIAAABkcnMvZG93bnJldi54bWxQSwECFAAUAAAA&#10;CACHTuJAjmXrxV4CAADeBAAADgAAAAAAAAABACAAAAApAQAAZHJzL2Uyb0RvYy54bWxQSwUGAAAA&#10;AAYABgBZAQAA+QUAAAAA&#10;">
                <v:fill on="t" focussize="0,0"/>
                <v:stroke weight="2pt" color="#FF0000 [2404]" joinstyle="round"/>
                <v:imagedata o:title=""/>
                <o:lock v:ext="edit" aspectratio="f"/>
              </v:rect>
            </w:pict>
          </mc:Fallback>
        </mc:AlternateContent>
      </w:r>
      <w:r>
        <w:rPr>
          <w:rFonts w:ascii="Times New Roman" w:hAnsi="Times New Roman" w:eastAsia="宋体" w:cs="宋体"/>
          <w:caps w:val="0"/>
          <w:sz w:val="24"/>
          <w:highlight w:val="none"/>
        </w:rPr>
        <mc:AlternateContent>
          <mc:Choice Requires="wps">
            <w:drawing>
              <wp:anchor distT="0" distB="0" distL="114300" distR="114300" simplePos="0" relativeHeight="251672576" behindDoc="0" locked="0" layoutInCell="1" allowOverlap="1">
                <wp:simplePos x="0" y="0"/>
                <wp:positionH relativeFrom="column">
                  <wp:posOffset>5951220</wp:posOffset>
                </wp:positionH>
                <wp:positionV relativeFrom="paragraph">
                  <wp:posOffset>3719830</wp:posOffset>
                </wp:positionV>
                <wp:extent cx="309880" cy="135255"/>
                <wp:effectExtent l="12700" t="12700" r="20320" b="23495"/>
                <wp:wrapNone/>
                <wp:docPr id="13" name="矩形 13"/>
                <wp:cNvGraphicFramePr/>
                <a:graphic xmlns:a="http://schemas.openxmlformats.org/drawingml/2006/main">
                  <a:graphicData uri="http://schemas.microsoft.com/office/word/2010/wordprocessingShape">
                    <wps:wsp>
                      <wps:cNvSpPr/>
                      <wps:spPr>
                        <a:xfrm>
                          <a:off x="7094220" y="4831715"/>
                          <a:ext cx="309880" cy="135255"/>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8.6pt;margin-top:292.9pt;height:10.65pt;width:24.4pt;z-index:251672576;v-text-anchor:middle;mso-width-relative:page;mso-height-relative:page;" fillcolor="#FFFF00" filled="t" stroked="t" coordsize="21600,21600" o:gfxdata="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HSwh52wAAAAsBAAAPAAAAAAAAAAEAIAAAACIAAABkcnMvZG93&#10;bnJldi54bWxQSwECFAAUAAAACACHTuJAI5wTcG8CAADqBAAADgAAAAAAAAABACAAAAAqAQAAZHJz&#10;L2Uyb0RvYy54bWxQSwUGAAAAAAYABgBZAQAACwYAAAAA&#10;">
                <v:fill on="t" focussize="0,0"/>
                <v:stroke weight="2pt" color="#FFFF00 [2404]" joinstyle="round"/>
                <v:imagedata o:title=""/>
                <o:lock v:ext="edit" aspectratio="f"/>
              </v:rect>
            </w:pict>
          </mc:Fallback>
        </mc:AlternateContent>
      </w:r>
      <w:r>
        <w:rPr>
          <w:rFonts w:ascii="Times New Roman" w:hAnsi="Times New Roman" w:eastAsia="宋体" w:cs="宋体"/>
          <w:caps w:val="0"/>
          <w:sz w:val="24"/>
          <w:highlight w:val="none"/>
        </w:rPr>
        <mc:AlternateContent>
          <mc:Choice Requires="wps">
            <w:drawing>
              <wp:anchor distT="0" distB="0" distL="114300" distR="114300" simplePos="0" relativeHeight="251671552" behindDoc="0" locked="0" layoutInCell="1" allowOverlap="1">
                <wp:simplePos x="0" y="0"/>
                <wp:positionH relativeFrom="column">
                  <wp:posOffset>5737225</wp:posOffset>
                </wp:positionH>
                <wp:positionV relativeFrom="paragraph">
                  <wp:posOffset>3466465</wp:posOffset>
                </wp:positionV>
                <wp:extent cx="1690370" cy="1253490"/>
                <wp:effectExtent l="4445" t="4445" r="19685" b="18415"/>
                <wp:wrapNone/>
                <wp:docPr id="1" name="文本框 1"/>
                <wp:cNvGraphicFramePr/>
                <a:graphic xmlns:a="http://schemas.openxmlformats.org/drawingml/2006/main">
                  <a:graphicData uri="http://schemas.microsoft.com/office/word/2010/wordprocessingShape">
                    <wps:wsp>
                      <wps:cNvSpPr txBox="1"/>
                      <wps:spPr>
                        <a:xfrm>
                          <a:off x="6880225" y="4951095"/>
                          <a:ext cx="1690370" cy="12534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A0784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lang w:val="en-US" w:eastAsia="zh-CN"/>
                              </w:rPr>
                            </w:pPr>
                            <w:r>
                              <w:rPr>
                                <w:rFonts w:hint="eastAsia"/>
                                <w:lang w:val="en-US" w:eastAsia="zh-CN"/>
                              </w:rPr>
                              <w:t>图例</w:t>
                            </w:r>
                          </w:p>
                          <w:p w14:paraId="2B516D3C">
                            <w:pPr>
                              <w:pStyle w:val="2"/>
                              <w:keepNext w:val="0"/>
                              <w:keepLines w:val="0"/>
                              <w:pageBreakBefore w:val="0"/>
                              <w:widowControl w:val="0"/>
                              <w:kinsoku/>
                              <w:wordWrap/>
                              <w:overflowPunct/>
                              <w:topLinePunct w:val="0"/>
                              <w:bidi w:val="0"/>
                              <w:adjustRightInd w:val="0"/>
                              <w:snapToGrid w:val="0"/>
                              <w:spacing w:after="0" w:line="240" w:lineRule="auto"/>
                              <w:ind w:left="0" w:leftChars="0" w:firstLine="480" w:firstLineChars="200"/>
                              <w:jc w:val="center"/>
                              <w:textAlignment w:val="auto"/>
                              <w:rPr>
                                <w:rFonts w:hint="eastAsia"/>
                                <w:lang w:val="en-US" w:eastAsia="zh-CN"/>
                              </w:rPr>
                            </w:pPr>
                            <w:r>
                              <w:rPr>
                                <w:rFonts w:hint="eastAsia"/>
                                <w:lang w:val="en-US" w:eastAsia="zh-CN"/>
                              </w:rPr>
                              <w:t>一般防渗区</w:t>
                            </w:r>
                          </w:p>
                          <w:p w14:paraId="10EDAAF9">
                            <w:pPr>
                              <w:pStyle w:val="4"/>
                              <w:keepNext w:val="0"/>
                              <w:keepLines w:val="0"/>
                              <w:pageBreakBefore w:val="0"/>
                              <w:widowControl/>
                              <w:kinsoku/>
                              <w:wordWrap/>
                              <w:overflowPunct/>
                              <w:topLinePunct w:val="0"/>
                              <w:bidi w:val="0"/>
                              <w:adjustRightInd w:val="0"/>
                              <w:snapToGrid w:val="0"/>
                              <w:spacing w:before="0" w:after="0" w:line="240" w:lineRule="auto"/>
                              <w:ind w:right="0" w:firstLine="480" w:firstLineChars="200"/>
                              <w:jc w:val="center"/>
                              <w:textAlignment w:val="auto"/>
                              <w:rPr>
                                <w:rFonts w:hint="eastAsia" w:ascii="Times New Roman" w:hAnsi="Times New Roman" w:eastAsia="宋体" w:cs="Times New Roman"/>
                                <w:bCs w:val="0"/>
                                <w:kern w:val="0"/>
                                <w:sz w:val="24"/>
                                <w:szCs w:val="20"/>
                                <w:lang w:val="en-US" w:eastAsia="zh-CN" w:bidi="ar-SA"/>
                              </w:rPr>
                            </w:pPr>
                            <w:r>
                              <w:rPr>
                                <w:rFonts w:hint="eastAsia" w:ascii="Times New Roman" w:hAnsi="Times New Roman" w:eastAsia="宋体" w:cs="Times New Roman"/>
                                <w:bCs w:val="0"/>
                                <w:kern w:val="0"/>
                                <w:sz w:val="24"/>
                                <w:szCs w:val="20"/>
                                <w:lang w:val="en-US" w:eastAsia="zh-CN" w:bidi="ar-SA"/>
                              </w:rPr>
                              <w:t>重点防渗区</w:t>
                            </w:r>
                          </w:p>
                          <w:p w14:paraId="12BDBEBD">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1.75pt;margin-top:272.95pt;height:98.7pt;width:133.1pt;z-index:251671552;mso-width-relative:page;mso-height-relative:page;" fillcolor="#FFFFFF [3201]" filled="t" stroked="t" coordsize="21600,21600" o:gfxdata="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zwQCdkAAAAMAQAADwAAAAAAAAABACAAAAAiAAAAZHJzL2Rvd25yZXYueG1sUEsB&#10;AhQAFAAAAAgAh07iQPDE7cpmAgAAxAQAAA4AAAAAAAAAAQAgAAAAKAEAAGRycy9lMm9Eb2MueG1s&#10;UEsFBgAAAAAGAAYAWQEAAAAGAAAAAA==&#10;">
                <v:fill on="t" focussize="0,0"/>
                <v:stroke weight="0.5pt" color="#000000 [3204]" joinstyle="round"/>
                <v:imagedata o:title=""/>
                <o:lock v:ext="edit" aspectratio="f"/>
                <v:textbox>
                  <w:txbxContent>
                    <w:p w14:paraId="1DA0784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lang w:val="en-US" w:eastAsia="zh-CN"/>
                        </w:rPr>
                      </w:pPr>
                      <w:r>
                        <w:rPr>
                          <w:rFonts w:hint="eastAsia"/>
                          <w:lang w:val="en-US" w:eastAsia="zh-CN"/>
                        </w:rPr>
                        <w:t>图例</w:t>
                      </w:r>
                    </w:p>
                    <w:p w14:paraId="2B516D3C">
                      <w:pPr>
                        <w:pStyle w:val="2"/>
                        <w:keepNext w:val="0"/>
                        <w:keepLines w:val="0"/>
                        <w:pageBreakBefore w:val="0"/>
                        <w:widowControl w:val="0"/>
                        <w:kinsoku/>
                        <w:wordWrap/>
                        <w:overflowPunct/>
                        <w:topLinePunct w:val="0"/>
                        <w:bidi w:val="0"/>
                        <w:adjustRightInd w:val="0"/>
                        <w:snapToGrid w:val="0"/>
                        <w:spacing w:after="0" w:line="240" w:lineRule="auto"/>
                        <w:ind w:left="0" w:leftChars="0" w:firstLine="480" w:firstLineChars="200"/>
                        <w:jc w:val="center"/>
                        <w:textAlignment w:val="auto"/>
                        <w:rPr>
                          <w:rFonts w:hint="eastAsia"/>
                          <w:lang w:val="en-US" w:eastAsia="zh-CN"/>
                        </w:rPr>
                      </w:pPr>
                      <w:r>
                        <w:rPr>
                          <w:rFonts w:hint="eastAsia"/>
                          <w:lang w:val="en-US" w:eastAsia="zh-CN"/>
                        </w:rPr>
                        <w:t>一般防渗区</w:t>
                      </w:r>
                    </w:p>
                    <w:p w14:paraId="10EDAAF9">
                      <w:pPr>
                        <w:pStyle w:val="4"/>
                        <w:keepNext w:val="0"/>
                        <w:keepLines w:val="0"/>
                        <w:pageBreakBefore w:val="0"/>
                        <w:widowControl/>
                        <w:kinsoku/>
                        <w:wordWrap/>
                        <w:overflowPunct/>
                        <w:topLinePunct w:val="0"/>
                        <w:bidi w:val="0"/>
                        <w:adjustRightInd w:val="0"/>
                        <w:snapToGrid w:val="0"/>
                        <w:spacing w:before="0" w:after="0" w:line="240" w:lineRule="auto"/>
                        <w:ind w:right="0" w:firstLine="480" w:firstLineChars="200"/>
                        <w:jc w:val="center"/>
                        <w:textAlignment w:val="auto"/>
                        <w:rPr>
                          <w:rFonts w:hint="eastAsia" w:ascii="Times New Roman" w:hAnsi="Times New Roman" w:eastAsia="宋体" w:cs="Times New Roman"/>
                          <w:bCs w:val="0"/>
                          <w:kern w:val="0"/>
                          <w:sz w:val="24"/>
                          <w:szCs w:val="20"/>
                          <w:lang w:val="en-US" w:eastAsia="zh-CN" w:bidi="ar-SA"/>
                        </w:rPr>
                      </w:pPr>
                      <w:r>
                        <w:rPr>
                          <w:rFonts w:hint="eastAsia" w:ascii="Times New Roman" w:hAnsi="Times New Roman" w:eastAsia="宋体" w:cs="Times New Roman"/>
                          <w:bCs w:val="0"/>
                          <w:kern w:val="0"/>
                          <w:sz w:val="24"/>
                          <w:szCs w:val="20"/>
                          <w:lang w:val="en-US" w:eastAsia="zh-CN" w:bidi="ar-SA"/>
                        </w:rPr>
                        <w:t>重点防渗区</w:t>
                      </w:r>
                    </w:p>
                    <w:p w14:paraId="12BDBEBD">
                      <w:pPr>
                        <w:rPr>
                          <w:rFonts w:hint="default"/>
                          <w:lang w:val="en-US" w:eastAsia="zh-CN"/>
                        </w:rPr>
                      </w:pPr>
                    </w:p>
                  </w:txbxContent>
                </v:textbox>
              </v:shape>
            </w:pict>
          </mc:Fallback>
        </mc:AlternateContent>
      </w:r>
      <w:r>
        <w:rPr>
          <w:rFonts w:ascii="Times New Roman" w:hAnsi="Times New Roman" w:eastAsia="宋体" w:cs="宋体"/>
          <w:caps w:val="0"/>
          <w:color w:val="auto"/>
          <w:highlight w:val="none"/>
        </w:rPr>
        <w:object>
          <v:shape id="_x0000_i1033" o:spt="75" type="#_x0000_t75" style="height:408.6pt;width:585.6pt;" o:ole="t" filled="f" o:preferrelative="t" stroked="f" coordsize="21600,21600">
            <v:path/>
            <v:fill on="f" focussize="0,0"/>
            <v:stroke on="f"/>
            <v:imagedata r:id="rId52" o:title=""/>
            <o:lock v:ext="edit" aspectratio="f"/>
            <w10:wrap type="none"/>
            <w10:anchorlock/>
          </v:shape>
          <o:OLEObject Type="Embed" ProgID="Visio.Drawing.15" ShapeID="_x0000_i1033" DrawAspect="Content" ObjectID="_1468075737" r:id="rId51">
            <o:LockedField>false</o:LockedField>
          </o:OLEObject>
        </w:object>
      </w:r>
    </w:p>
    <w:p w14:paraId="2091F353">
      <w:pPr>
        <w:outlineLvl w:val="0"/>
        <w:rPr>
          <w:rFonts w:hint="eastAsia"/>
          <w:b/>
          <w:bCs w:val="0"/>
          <w:highlight w:val="none"/>
          <w:lang w:val="en-US" w:eastAsia="zh-CN"/>
        </w:rPr>
      </w:pPr>
      <w:bookmarkStart w:id="28" w:name="_Toc6461"/>
      <w:r>
        <w:rPr>
          <w:rFonts w:hint="eastAsia"/>
          <w:b/>
          <w:bCs w:val="0"/>
          <w:highlight w:val="none"/>
          <w:lang w:val="en-US" w:eastAsia="zh-CN"/>
        </w:rPr>
        <w:t>附图6 公示截图</w:t>
      </w:r>
      <w:bookmarkEnd w:id="28"/>
    </w:p>
    <w:p w14:paraId="5650E06F">
      <w:pPr>
        <w:pStyle w:val="19"/>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rPr>
          <w:rFonts w:hint="eastAsia" w:eastAsia="宋体"/>
          <w:highlight w:val="none"/>
          <w:lang w:val="en-US" w:eastAsia="zh-CN"/>
        </w:rPr>
        <w:sectPr>
          <w:pgSz w:w="11906" w:h="16838"/>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highlight w:val="none"/>
        </w:rPr>
        <w:drawing>
          <wp:inline distT="0" distB="0" distL="114300" distR="114300">
            <wp:extent cx="5726430" cy="4069080"/>
            <wp:effectExtent l="0" t="0" r="7620" b="7620"/>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53"/>
                    <a:stretch>
                      <a:fillRect/>
                    </a:stretch>
                  </pic:blipFill>
                  <pic:spPr>
                    <a:xfrm>
                      <a:off x="0" y="0"/>
                      <a:ext cx="5726430" cy="4069080"/>
                    </a:xfrm>
                    <a:prstGeom prst="rect">
                      <a:avLst/>
                    </a:prstGeom>
                    <a:noFill/>
                    <a:ln>
                      <a:noFill/>
                    </a:ln>
                  </pic:spPr>
                </pic:pic>
              </a:graphicData>
            </a:graphic>
          </wp:inline>
        </w:drawing>
      </w:r>
      <w:r>
        <w:rPr>
          <w:rFonts w:hint="eastAsia"/>
          <w:highlight w:val="none"/>
          <w:lang w:val="en-US" w:eastAsia="zh-CN"/>
        </w:rPr>
        <w:t xml:space="preserve"> </w:t>
      </w:r>
    </w:p>
    <w:p w14:paraId="13EB5EC1">
      <w:pPr>
        <w:ind w:left="0" w:leftChars="0" w:firstLine="0" w:firstLineChars="0"/>
        <w:outlineLvl w:val="0"/>
        <w:rPr>
          <w:rFonts w:hint="eastAsia" w:ascii="Times New Roman" w:hAnsi="Times New Roman" w:eastAsia="宋体" w:cs="宋体"/>
          <w:b/>
          <w:bCs w:val="0"/>
          <w:caps w:val="0"/>
          <w:spacing w:val="0"/>
          <w:highlight w:val="none"/>
          <w:lang w:val="en-US" w:eastAsia="zh-CN"/>
        </w:rPr>
      </w:pPr>
      <w:bookmarkStart w:id="29" w:name="_Toc3940"/>
      <w:r>
        <w:rPr>
          <w:rFonts w:hint="eastAsia" w:ascii="Times New Roman" w:hAnsi="Times New Roman" w:eastAsia="宋体" w:cs="宋体"/>
          <w:b/>
          <w:bCs w:val="0"/>
          <w:caps w:val="0"/>
          <w:spacing w:val="0"/>
          <w:highlight w:val="none"/>
          <w:lang w:val="en-US" w:eastAsia="zh-CN"/>
        </w:rPr>
        <w:t>附件1 营业执照</w:t>
      </w:r>
      <w:bookmarkEnd w:id="29"/>
    </w:p>
    <w:p w14:paraId="6A1986BC">
      <w:pPr>
        <w:pStyle w:val="19"/>
        <w:ind w:left="0" w:leftChars="0" w:firstLine="0" w:firstLineChars="0"/>
        <w:jc w:val="center"/>
        <w:rPr>
          <w:rFonts w:hint="eastAsia" w:ascii="Times New Roman" w:hAnsi="Times New Roman" w:eastAsia="宋体" w:cs="宋体"/>
          <w:caps w:val="0"/>
          <w:spacing w:val="0"/>
          <w:szCs w:val="32"/>
          <w:highlight w:val="none"/>
          <w:lang w:eastAsia="zh-CN"/>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宋体"/>
          <w:caps w:val="0"/>
          <w:spacing w:val="0"/>
          <w:szCs w:val="32"/>
          <w:highlight w:val="none"/>
          <w:lang w:eastAsia="zh-CN"/>
        </w:rPr>
        <w:drawing>
          <wp:inline distT="0" distB="0" distL="114300" distR="114300">
            <wp:extent cx="5240020" cy="7185025"/>
            <wp:effectExtent l="0" t="0" r="15875" b="17780"/>
            <wp:docPr id="18" name="图片 18" descr="819d8232364462276777ab7a7435bd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819d8232364462276777ab7a7435bd8c"/>
                    <pic:cNvPicPr>
                      <a:picLocks noChangeAspect="1"/>
                    </pic:cNvPicPr>
                  </pic:nvPicPr>
                  <pic:blipFill>
                    <a:blip r:embed="rId54"/>
                    <a:stretch>
                      <a:fillRect/>
                    </a:stretch>
                  </pic:blipFill>
                  <pic:spPr>
                    <a:xfrm rot="16200000">
                      <a:off x="0" y="0"/>
                      <a:ext cx="5240020" cy="7185025"/>
                    </a:xfrm>
                    <a:prstGeom prst="rect">
                      <a:avLst/>
                    </a:prstGeom>
                  </pic:spPr>
                </pic:pic>
              </a:graphicData>
            </a:graphic>
          </wp:inline>
        </w:drawing>
      </w:r>
    </w:p>
    <w:p w14:paraId="1C5682DD">
      <w:pPr>
        <w:spacing w:line="240" w:lineRule="auto"/>
        <w:ind w:left="0" w:leftChars="0" w:firstLine="0" w:firstLineChars="0"/>
        <w:outlineLvl w:val="0"/>
        <w:rPr>
          <w:rFonts w:hint="eastAsia" w:ascii="Times New Roman" w:hAnsi="Times New Roman" w:eastAsia="宋体" w:cs="宋体"/>
          <w:b/>
          <w:bCs w:val="0"/>
          <w:caps w:val="0"/>
          <w:spacing w:val="0"/>
          <w:highlight w:val="none"/>
          <w:lang w:val="en-US" w:eastAsia="zh-CN"/>
        </w:rPr>
      </w:pPr>
      <w:bookmarkStart w:id="30" w:name="_Toc18907"/>
      <w:r>
        <w:rPr>
          <w:rFonts w:hint="eastAsia" w:ascii="Times New Roman" w:hAnsi="Times New Roman" w:eastAsia="宋体" w:cs="宋体"/>
          <w:b/>
          <w:bCs w:val="0"/>
          <w:caps w:val="0"/>
          <w:spacing w:val="0"/>
          <w:highlight w:val="none"/>
          <w:lang w:val="en-US" w:eastAsia="zh-CN"/>
        </w:rPr>
        <w:t>附件2 关于梨树区石墨筛分烘干建设项目环境影响报告表的批复</w:t>
      </w:r>
      <w:bookmarkEnd w:id="30"/>
    </w:p>
    <w:p w14:paraId="50C590C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eastAsia="宋体" w:cs="宋体"/>
          <w:caps w:val="0"/>
          <w:color w:val="auto"/>
          <w:highlight w:val="none"/>
        </w:rPr>
      </w:pPr>
      <w:r>
        <w:rPr>
          <w:rFonts w:ascii="Times New Roman" w:hAnsi="Times New Roman" w:eastAsia="宋体" w:cs="宋体"/>
          <w:caps w:val="0"/>
          <w:highlight w:val="none"/>
        </w:rPr>
        <w:drawing>
          <wp:inline distT="0" distB="0" distL="114300" distR="114300">
            <wp:extent cx="5267960" cy="8382000"/>
            <wp:effectExtent l="0" t="0" r="8890" b="0"/>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55"/>
                    <a:stretch>
                      <a:fillRect/>
                    </a:stretch>
                  </pic:blipFill>
                  <pic:spPr>
                    <a:xfrm>
                      <a:off x="0" y="0"/>
                      <a:ext cx="5267960" cy="8382000"/>
                    </a:xfrm>
                    <a:prstGeom prst="rect">
                      <a:avLst/>
                    </a:prstGeom>
                    <a:noFill/>
                    <a:ln>
                      <a:noFill/>
                    </a:ln>
                  </pic:spPr>
                </pic:pic>
              </a:graphicData>
            </a:graphic>
          </wp:inline>
        </w:drawing>
      </w:r>
      <w:r>
        <w:rPr>
          <w:rFonts w:ascii="Times New Roman" w:hAnsi="Times New Roman" w:eastAsia="宋体" w:cs="宋体"/>
          <w:caps w:val="0"/>
          <w:highlight w:val="none"/>
        </w:rPr>
        <w:drawing>
          <wp:inline distT="0" distB="0" distL="114300" distR="114300">
            <wp:extent cx="5274310" cy="8390255"/>
            <wp:effectExtent l="0" t="0" r="2540" b="10795"/>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56"/>
                    <a:stretch>
                      <a:fillRect/>
                    </a:stretch>
                  </pic:blipFill>
                  <pic:spPr>
                    <a:xfrm>
                      <a:off x="0" y="0"/>
                      <a:ext cx="5274310" cy="8390255"/>
                    </a:xfrm>
                    <a:prstGeom prst="rect">
                      <a:avLst/>
                    </a:prstGeom>
                    <a:noFill/>
                    <a:ln>
                      <a:noFill/>
                    </a:ln>
                  </pic:spPr>
                </pic:pic>
              </a:graphicData>
            </a:graphic>
          </wp:inline>
        </w:drawing>
      </w:r>
      <w:r>
        <w:rPr>
          <w:rFonts w:ascii="Times New Roman" w:hAnsi="Times New Roman" w:eastAsia="宋体" w:cs="宋体"/>
          <w:caps w:val="0"/>
          <w:highlight w:val="none"/>
        </w:rPr>
        <w:drawing>
          <wp:inline distT="0" distB="0" distL="114300" distR="114300">
            <wp:extent cx="5260340" cy="8677910"/>
            <wp:effectExtent l="0" t="0" r="16510" b="889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57"/>
                    <a:stretch>
                      <a:fillRect/>
                    </a:stretch>
                  </pic:blipFill>
                  <pic:spPr>
                    <a:xfrm>
                      <a:off x="0" y="0"/>
                      <a:ext cx="5260340" cy="8677910"/>
                    </a:xfrm>
                    <a:prstGeom prst="rect">
                      <a:avLst/>
                    </a:prstGeom>
                    <a:noFill/>
                    <a:ln>
                      <a:noFill/>
                    </a:ln>
                  </pic:spPr>
                </pic:pic>
              </a:graphicData>
            </a:graphic>
          </wp:inline>
        </w:drawing>
      </w:r>
      <w:r>
        <w:rPr>
          <w:rFonts w:ascii="Times New Roman" w:hAnsi="Times New Roman" w:eastAsia="宋体" w:cs="宋体"/>
          <w:caps w:val="0"/>
          <w:color w:val="auto"/>
          <w:highlight w:val="none"/>
        </w:rPr>
        <w:br w:type="page"/>
      </w:r>
    </w:p>
    <w:p w14:paraId="7D5416B4">
      <w:pPr>
        <w:pStyle w:val="4"/>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textAlignment w:val="auto"/>
        <w:outlineLvl w:val="0"/>
        <w:rPr>
          <w:rFonts w:hint="default" w:ascii="Times New Roman" w:hAnsi="Times New Roman" w:eastAsia="宋体" w:cs="宋体"/>
          <w:b/>
          <w:bCs w:val="0"/>
          <w:caps w:val="0"/>
          <w:spacing w:val="0"/>
          <w:sz w:val="24"/>
          <w:szCs w:val="28"/>
          <w:highlight w:val="none"/>
          <w:lang w:val="en-US" w:eastAsia="zh-CN"/>
        </w:rPr>
      </w:pPr>
      <w:bookmarkStart w:id="31" w:name="_Toc17572"/>
      <w:r>
        <w:rPr>
          <w:rFonts w:hint="eastAsia" w:ascii="Times New Roman" w:hAnsi="Times New Roman" w:eastAsia="宋体" w:cs="宋体"/>
          <w:b/>
          <w:bCs w:val="0"/>
          <w:caps w:val="0"/>
          <w:spacing w:val="0"/>
          <w:sz w:val="24"/>
          <w:szCs w:val="28"/>
          <w:highlight w:val="none"/>
          <w:lang w:val="en-US" w:eastAsia="zh-CN"/>
        </w:rPr>
        <w:t>附件3 鸡西市燎盛新材料科技有限公司梨树区石</w:t>
      </w:r>
      <w:r>
        <w:rPr>
          <w:rFonts w:hint="eastAsia" w:cs="宋体"/>
          <w:b/>
          <w:bCs w:val="0"/>
          <w:caps w:val="0"/>
          <w:spacing w:val="0"/>
          <w:sz w:val="24"/>
          <w:szCs w:val="28"/>
          <w:highlight w:val="none"/>
          <w:lang w:val="en-US" w:eastAsia="zh-CN"/>
        </w:rPr>
        <w:t>墨筛</w:t>
      </w:r>
      <w:r>
        <w:rPr>
          <w:rFonts w:hint="eastAsia" w:ascii="Times New Roman" w:hAnsi="Times New Roman" w:eastAsia="宋体" w:cs="宋体"/>
          <w:b/>
          <w:bCs w:val="0"/>
          <w:caps w:val="0"/>
          <w:spacing w:val="0"/>
          <w:sz w:val="24"/>
          <w:szCs w:val="28"/>
          <w:highlight w:val="none"/>
          <w:lang w:val="en-US" w:eastAsia="zh-CN"/>
        </w:rPr>
        <w:t>分烘干项目竣工环境保护验收意见</w:t>
      </w:r>
      <w:bookmarkEnd w:id="31"/>
    </w:p>
    <w:p w14:paraId="0CC8C8BF">
      <w:pPr>
        <w:ind w:left="0" w:leftChars="0" w:firstLine="0" w:firstLineChars="0"/>
        <w:rPr>
          <w:rFonts w:ascii="Times New Roman" w:hAnsi="Times New Roman" w:eastAsia="宋体" w:cs="宋体"/>
          <w:caps w:val="0"/>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ascii="Times New Roman" w:hAnsi="Times New Roman" w:eastAsia="宋体" w:cs="宋体"/>
          <w:caps w:val="0"/>
          <w:highlight w:val="none"/>
        </w:rPr>
        <w:drawing>
          <wp:inline distT="0" distB="0" distL="114300" distR="114300">
            <wp:extent cx="5264150" cy="7607935"/>
            <wp:effectExtent l="0" t="0" r="12700" b="12065"/>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58"/>
                    <a:stretch>
                      <a:fillRect/>
                    </a:stretch>
                  </pic:blipFill>
                  <pic:spPr>
                    <a:xfrm>
                      <a:off x="0" y="0"/>
                      <a:ext cx="5264150" cy="7607935"/>
                    </a:xfrm>
                    <a:prstGeom prst="rect">
                      <a:avLst/>
                    </a:prstGeom>
                    <a:noFill/>
                    <a:ln>
                      <a:noFill/>
                    </a:ln>
                  </pic:spPr>
                </pic:pic>
              </a:graphicData>
            </a:graphic>
          </wp:inline>
        </w:drawing>
      </w:r>
      <w:r>
        <w:rPr>
          <w:rFonts w:ascii="Times New Roman" w:hAnsi="Times New Roman" w:eastAsia="宋体" w:cs="宋体"/>
          <w:caps w:val="0"/>
          <w:highlight w:val="none"/>
        </w:rPr>
        <w:drawing>
          <wp:inline distT="0" distB="0" distL="114300" distR="114300">
            <wp:extent cx="5250180" cy="7315200"/>
            <wp:effectExtent l="0" t="0" r="7620" b="0"/>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59"/>
                    <a:stretch>
                      <a:fillRect/>
                    </a:stretch>
                  </pic:blipFill>
                  <pic:spPr>
                    <a:xfrm>
                      <a:off x="0" y="0"/>
                      <a:ext cx="5250180" cy="7315200"/>
                    </a:xfrm>
                    <a:prstGeom prst="rect">
                      <a:avLst/>
                    </a:prstGeom>
                    <a:noFill/>
                    <a:ln>
                      <a:noFill/>
                    </a:ln>
                  </pic:spPr>
                </pic:pic>
              </a:graphicData>
            </a:graphic>
          </wp:inline>
        </w:drawing>
      </w:r>
      <w:r>
        <w:rPr>
          <w:rFonts w:ascii="Times New Roman" w:hAnsi="Times New Roman" w:eastAsia="宋体" w:cs="宋体"/>
          <w:caps w:val="0"/>
          <w:highlight w:val="none"/>
        </w:rPr>
        <w:drawing>
          <wp:inline distT="0" distB="0" distL="114300" distR="114300">
            <wp:extent cx="5257800" cy="7003415"/>
            <wp:effectExtent l="0" t="0" r="0" b="6985"/>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60"/>
                    <a:stretch>
                      <a:fillRect/>
                    </a:stretch>
                  </pic:blipFill>
                  <pic:spPr>
                    <a:xfrm>
                      <a:off x="0" y="0"/>
                      <a:ext cx="5257800" cy="7003415"/>
                    </a:xfrm>
                    <a:prstGeom prst="rect">
                      <a:avLst/>
                    </a:prstGeom>
                    <a:noFill/>
                    <a:ln>
                      <a:noFill/>
                    </a:ln>
                  </pic:spPr>
                </pic:pic>
              </a:graphicData>
            </a:graphic>
          </wp:inline>
        </w:drawing>
      </w:r>
      <w:r>
        <w:rPr>
          <w:rFonts w:ascii="Times New Roman" w:hAnsi="Times New Roman" w:eastAsia="宋体" w:cs="宋体"/>
          <w:caps w:val="0"/>
          <w:highlight w:val="none"/>
        </w:rPr>
        <w:drawing>
          <wp:inline distT="0" distB="0" distL="114300" distR="114300">
            <wp:extent cx="5265420" cy="7025005"/>
            <wp:effectExtent l="0" t="0" r="11430" b="4445"/>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pic:cNvPicPr>
                  </pic:nvPicPr>
                  <pic:blipFill>
                    <a:blip r:embed="rId61"/>
                    <a:stretch>
                      <a:fillRect/>
                    </a:stretch>
                  </pic:blipFill>
                  <pic:spPr>
                    <a:xfrm>
                      <a:off x="0" y="0"/>
                      <a:ext cx="5265420" cy="7025005"/>
                    </a:xfrm>
                    <a:prstGeom prst="rect">
                      <a:avLst/>
                    </a:prstGeom>
                    <a:noFill/>
                    <a:ln>
                      <a:noFill/>
                    </a:ln>
                  </pic:spPr>
                </pic:pic>
              </a:graphicData>
            </a:graphic>
          </wp:inline>
        </w:drawing>
      </w:r>
    </w:p>
    <w:p w14:paraId="2A4C14B5">
      <w:pPr>
        <w:spacing w:line="240" w:lineRule="auto"/>
        <w:ind w:left="0" w:leftChars="0" w:firstLine="0" w:firstLineChars="0"/>
        <w:outlineLvl w:val="0"/>
        <w:rPr>
          <w:rFonts w:hint="eastAsia" w:ascii="Times New Roman" w:hAnsi="Times New Roman" w:eastAsia="宋体" w:cs="宋体"/>
          <w:b/>
          <w:bCs w:val="0"/>
          <w:caps w:val="0"/>
          <w:spacing w:val="0"/>
          <w:sz w:val="24"/>
          <w:szCs w:val="24"/>
          <w:highlight w:val="none"/>
          <w:lang w:val="en-US" w:eastAsia="zh-CN"/>
        </w:rPr>
      </w:pPr>
      <w:bookmarkStart w:id="32" w:name="_Toc4847"/>
      <w:r>
        <w:rPr>
          <w:rFonts w:hint="eastAsia" w:ascii="Times New Roman" w:hAnsi="Times New Roman" w:eastAsia="宋体" w:cs="宋体"/>
          <w:b/>
          <w:bCs w:val="0"/>
          <w:caps w:val="0"/>
          <w:spacing w:val="0"/>
          <w:sz w:val="24"/>
          <w:szCs w:val="24"/>
          <w:highlight w:val="none"/>
          <w:lang w:val="en-US" w:eastAsia="zh-CN"/>
        </w:rPr>
        <w:t>附件4现有工程排污许可证</w:t>
      </w:r>
      <w:bookmarkEnd w:id="32"/>
    </w:p>
    <w:p w14:paraId="1DE98047">
      <w:pPr>
        <w:pStyle w:val="2"/>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宋体"/>
          <w:caps w:val="0"/>
          <w:highlight w:val="none"/>
          <w:lang w:val="en-US" w:eastAsia="zh-CN"/>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宋体"/>
          <w:caps w:val="0"/>
          <w:highlight w:val="none"/>
          <w:lang w:val="en-US" w:eastAsia="zh-CN"/>
        </w:rPr>
        <w:drawing>
          <wp:inline distT="0" distB="0" distL="114300" distR="114300">
            <wp:extent cx="7141845" cy="5049520"/>
            <wp:effectExtent l="0" t="0" r="1905" b="17780"/>
            <wp:docPr id="58" name="图片 58" descr="排污许可证正本信息公开 (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排污许可证正本信息公开 (9)_01"/>
                    <pic:cNvPicPr>
                      <a:picLocks noChangeAspect="1"/>
                    </pic:cNvPicPr>
                  </pic:nvPicPr>
                  <pic:blipFill>
                    <a:blip r:embed="rId62"/>
                    <a:stretch>
                      <a:fillRect/>
                    </a:stretch>
                  </pic:blipFill>
                  <pic:spPr>
                    <a:xfrm>
                      <a:off x="0" y="0"/>
                      <a:ext cx="7141845" cy="5049520"/>
                    </a:xfrm>
                    <a:prstGeom prst="rect">
                      <a:avLst/>
                    </a:prstGeom>
                  </pic:spPr>
                </pic:pic>
              </a:graphicData>
            </a:graphic>
          </wp:inline>
        </w:drawing>
      </w:r>
    </w:p>
    <w:p w14:paraId="51D575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outlineLvl w:val="0"/>
        <w:rPr>
          <w:rFonts w:hint="eastAsia" w:ascii="Times New Roman" w:hAnsi="Times New Roman" w:eastAsia="宋体" w:cs="宋体"/>
          <w:b/>
          <w:bCs w:val="0"/>
          <w:caps w:val="0"/>
          <w:highlight w:val="none"/>
          <w:lang w:val="en-US" w:eastAsia="zh-CN"/>
        </w:rPr>
      </w:pPr>
      <w:bookmarkStart w:id="33" w:name="_Toc29832"/>
      <w:r>
        <w:rPr>
          <w:rFonts w:hint="eastAsia" w:ascii="Times New Roman" w:hAnsi="Times New Roman" w:eastAsia="宋体" w:cs="宋体"/>
          <w:b/>
          <w:bCs w:val="0"/>
          <w:caps w:val="0"/>
          <w:highlight w:val="none"/>
          <w:lang w:val="en-US" w:eastAsia="zh-CN"/>
        </w:rPr>
        <w:t>附件5 现有工程废气监测报告</w:t>
      </w:r>
      <w:bookmarkEnd w:id="33"/>
    </w:p>
    <w:p w14:paraId="5DD36230">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宋体"/>
          <w:caps w:val="0"/>
          <w:highlight w:val="none"/>
          <w:lang w:val="en-US" w:eastAsia="zh-CN"/>
        </w:rPr>
      </w:pPr>
      <w:r>
        <w:rPr>
          <w:rFonts w:hint="default" w:ascii="Times New Roman" w:hAnsi="Times New Roman" w:eastAsia="宋体" w:cs="宋体"/>
          <w:caps w:val="0"/>
          <w:highlight w:val="none"/>
          <w:lang w:val="en-US" w:eastAsia="zh-CN"/>
        </w:rPr>
        <w:drawing>
          <wp:inline distT="0" distB="0" distL="114300" distR="114300">
            <wp:extent cx="5449570" cy="7705090"/>
            <wp:effectExtent l="0" t="0" r="17780" b="10160"/>
            <wp:docPr id="73" name="图片 73" descr="鸡西市燎盛新材料科技有限公司-废气-2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鸡西市燎盛新材料科技有限公司-废气-2月_01"/>
                    <pic:cNvPicPr>
                      <a:picLocks noChangeAspect="1"/>
                    </pic:cNvPicPr>
                  </pic:nvPicPr>
                  <pic:blipFill>
                    <a:blip r:embed="rId63"/>
                    <a:stretch>
                      <a:fillRect/>
                    </a:stretch>
                  </pic:blipFill>
                  <pic:spPr>
                    <a:xfrm>
                      <a:off x="0" y="0"/>
                      <a:ext cx="5449570" cy="7705090"/>
                    </a:xfrm>
                    <a:prstGeom prst="rect">
                      <a:avLst/>
                    </a:prstGeom>
                  </pic:spPr>
                </pic:pic>
              </a:graphicData>
            </a:graphic>
          </wp:inline>
        </w:drawing>
      </w:r>
      <w:r>
        <w:rPr>
          <w:rFonts w:hint="default" w:ascii="Times New Roman" w:hAnsi="Times New Roman" w:eastAsia="宋体" w:cs="宋体"/>
          <w:caps w:val="0"/>
          <w:highlight w:val="none"/>
          <w:lang w:val="en-US" w:eastAsia="zh-CN"/>
        </w:rPr>
        <w:drawing>
          <wp:inline distT="0" distB="0" distL="114300" distR="114300">
            <wp:extent cx="5449570" cy="7705090"/>
            <wp:effectExtent l="0" t="0" r="17780" b="10160"/>
            <wp:docPr id="74" name="图片 74" descr="鸡西市燎盛新材料科技有限公司-废气-2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鸡西市燎盛新材料科技有限公司-废气-2月_02"/>
                    <pic:cNvPicPr>
                      <a:picLocks noChangeAspect="1"/>
                    </pic:cNvPicPr>
                  </pic:nvPicPr>
                  <pic:blipFill>
                    <a:blip r:embed="rId64"/>
                    <a:stretch>
                      <a:fillRect/>
                    </a:stretch>
                  </pic:blipFill>
                  <pic:spPr>
                    <a:xfrm>
                      <a:off x="0" y="0"/>
                      <a:ext cx="5449570" cy="7705090"/>
                    </a:xfrm>
                    <a:prstGeom prst="rect">
                      <a:avLst/>
                    </a:prstGeom>
                  </pic:spPr>
                </pic:pic>
              </a:graphicData>
            </a:graphic>
          </wp:inline>
        </w:drawing>
      </w:r>
      <w:r>
        <w:rPr>
          <w:rFonts w:hint="default" w:ascii="Times New Roman" w:hAnsi="Times New Roman" w:eastAsia="宋体" w:cs="宋体"/>
          <w:caps w:val="0"/>
          <w:highlight w:val="none"/>
          <w:lang w:val="en-US" w:eastAsia="zh-CN"/>
        </w:rPr>
        <w:drawing>
          <wp:inline distT="0" distB="0" distL="114300" distR="114300">
            <wp:extent cx="5449570" cy="7705090"/>
            <wp:effectExtent l="0" t="0" r="17780" b="10160"/>
            <wp:docPr id="75" name="图片 75" descr="鸡西市燎盛新材料科技有限公司-废气-2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鸡西市燎盛新材料科技有限公司-废气-2月_03"/>
                    <pic:cNvPicPr>
                      <a:picLocks noChangeAspect="1"/>
                    </pic:cNvPicPr>
                  </pic:nvPicPr>
                  <pic:blipFill>
                    <a:blip r:embed="rId65"/>
                    <a:stretch>
                      <a:fillRect/>
                    </a:stretch>
                  </pic:blipFill>
                  <pic:spPr>
                    <a:xfrm>
                      <a:off x="0" y="0"/>
                      <a:ext cx="5449570" cy="7705090"/>
                    </a:xfrm>
                    <a:prstGeom prst="rect">
                      <a:avLst/>
                    </a:prstGeom>
                  </pic:spPr>
                </pic:pic>
              </a:graphicData>
            </a:graphic>
          </wp:inline>
        </w:drawing>
      </w:r>
      <w:r>
        <w:rPr>
          <w:rFonts w:hint="default" w:ascii="Times New Roman" w:hAnsi="Times New Roman" w:eastAsia="宋体" w:cs="宋体"/>
          <w:caps w:val="0"/>
          <w:highlight w:val="none"/>
          <w:lang w:val="en-US" w:eastAsia="zh-CN"/>
        </w:rPr>
        <w:drawing>
          <wp:inline distT="0" distB="0" distL="114300" distR="114300">
            <wp:extent cx="5449570" cy="7705090"/>
            <wp:effectExtent l="0" t="0" r="17780" b="10160"/>
            <wp:docPr id="77" name="图片 77" descr="鸡西市燎盛新材料科技有限公司-废气-2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鸡西市燎盛新材料科技有限公司-废气-2月_04"/>
                    <pic:cNvPicPr>
                      <a:picLocks noChangeAspect="1"/>
                    </pic:cNvPicPr>
                  </pic:nvPicPr>
                  <pic:blipFill>
                    <a:blip r:embed="rId66"/>
                    <a:stretch>
                      <a:fillRect/>
                    </a:stretch>
                  </pic:blipFill>
                  <pic:spPr>
                    <a:xfrm>
                      <a:off x="0" y="0"/>
                      <a:ext cx="5449570" cy="7705090"/>
                    </a:xfrm>
                    <a:prstGeom prst="rect">
                      <a:avLst/>
                    </a:prstGeom>
                  </pic:spPr>
                </pic:pic>
              </a:graphicData>
            </a:graphic>
          </wp:inline>
        </w:drawing>
      </w:r>
      <w:r>
        <w:rPr>
          <w:rFonts w:hint="default" w:ascii="Times New Roman" w:hAnsi="Times New Roman" w:eastAsia="宋体" w:cs="宋体"/>
          <w:caps w:val="0"/>
          <w:highlight w:val="none"/>
          <w:lang w:val="en-US" w:eastAsia="zh-CN"/>
        </w:rPr>
        <w:drawing>
          <wp:inline distT="0" distB="0" distL="114300" distR="114300">
            <wp:extent cx="5449570" cy="7705090"/>
            <wp:effectExtent l="0" t="0" r="17780" b="10160"/>
            <wp:docPr id="78" name="图片 78" descr="鸡西市燎盛新材料科技有限公司-废气-2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鸡西市燎盛新材料科技有限公司-废气-2月_05"/>
                    <pic:cNvPicPr>
                      <a:picLocks noChangeAspect="1"/>
                    </pic:cNvPicPr>
                  </pic:nvPicPr>
                  <pic:blipFill>
                    <a:blip r:embed="rId67"/>
                    <a:stretch>
                      <a:fillRect/>
                    </a:stretch>
                  </pic:blipFill>
                  <pic:spPr>
                    <a:xfrm>
                      <a:off x="0" y="0"/>
                      <a:ext cx="5449570" cy="7705090"/>
                    </a:xfrm>
                    <a:prstGeom prst="rect">
                      <a:avLst/>
                    </a:prstGeom>
                  </pic:spPr>
                </pic:pic>
              </a:graphicData>
            </a:graphic>
          </wp:inline>
        </w:drawing>
      </w:r>
      <w:r>
        <w:rPr>
          <w:rFonts w:hint="default" w:ascii="Times New Roman" w:hAnsi="Times New Roman" w:eastAsia="宋体" w:cs="宋体"/>
          <w:caps w:val="0"/>
          <w:highlight w:val="none"/>
          <w:lang w:val="en-US" w:eastAsia="zh-CN"/>
        </w:rPr>
        <w:drawing>
          <wp:inline distT="0" distB="0" distL="114300" distR="114300">
            <wp:extent cx="5449570" cy="7705090"/>
            <wp:effectExtent l="0" t="0" r="17780" b="10160"/>
            <wp:docPr id="79" name="图片 79" descr="鸡西市燎盛新材料科技有限公司-废气-2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鸡西市燎盛新材料科技有限公司-废气-2月_06"/>
                    <pic:cNvPicPr>
                      <a:picLocks noChangeAspect="1"/>
                    </pic:cNvPicPr>
                  </pic:nvPicPr>
                  <pic:blipFill>
                    <a:blip r:embed="rId68"/>
                    <a:stretch>
                      <a:fillRect/>
                    </a:stretch>
                  </pic:blipFill>
                  <pic:spPr>
                    <a:xfrm>
                      <a:off x="0" y="0"/>
                      <a:ext cx="5449570" cy="7705090"/>
                    </a:xfrm>
                    <a:prstGeom prst="rect">
                      <a:avLst/>
                    </a:prstGeom>
                  </pic:spPr>
                </pic:pic>
              </a:graphicData>
            </a:graphic>
          </wp:inline>
        </w:drawing>
      </w:r>
      <w:r>
        <w:rPr>
          <w:rFonts w:hint="default" w:ascii="Times New Roman" w:hAnsi="Times New Roman" w:eastAsia="宋体" w:cs="宋体"/>
          <w:caps w:val="0"/>
          <w:highlight w:val="none"/>
          <w:lang w:val="en-US" w:eastAsia="zh-CN"/>
        </w:rPr>
        <w:drawing>
          <wp:inline distT="0" distB="0" distL="114300" distR="114300">
            <wp:extent cx="5449570" cy="7705090"/>
            <wp:effectExtent l="0" t="0" r="17780" b="10160"/>
            <wp:docPr id="80" name="图片 80" descr="鸡西市燎盛新材料科技有限公司-废气-2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鸡西市燎盛新材料科技有限公司-废气-2月_07"/>
                    <pic:cNvPicPr>
                      <a:picLocks noChangeAspect="1"/>
                    </pic:cNvPicPr>
                  </pic:nvPicPr>
                  <pic:blipFill>
                    <a:blip r:embed="rId69"/>
                    <a:stretch>
                      <a:fillRect/>
                    </a:stretch>
                  </pic:blipFill>
                  <pic:spPr>
                    <a:xfrm>
                      <a:off x="0" y="0"/>
                      <a:ext cx="5449570" cy="7705090"/>
                    </a:xfrm>
                    <a:prstGeom prst="rect">
                      <a:avLst/>
                    </a:prstGeom>
                  </pic:spPr>
                </pic:pic>
              </a:graphicData>
            </a:graphic>
          </wp:inline>
        </w:drawing>
      </w:r>
      <w:r>
        <w:rPr>
          <w:rFonts w:hint="default" w:ascii="Times New Roman" w:hAnsi="Times New Roman" w:eastAsia="宋体" w:cs="宋体"/>
          <w:caps w:val="0"/>
          <w:highlight w:val="none"/>
          <w:lang w:val="en-US" w:eastAsia="zh-CN"/>
        </w:rPr>
        <w:drawing>
          <wp:inline distT="0" distB="0" distL="114300" distR="114300">
            <wp:extent cx="5449570" cy="7705090"/>
            <wp:effectExtent l="0" t="0" r="17780" b="10160"/>
            <wp:docPr id="81" name="图片 81" descr="鸡西市燎盛新材料科技有限公司-废气-2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鸡西市燎盛新材料科技有限公司-废气-2月_08"/>
                    <pic:cNvPicPr>
                      <a:picLocks noChangeAspect="1"/>
                    </pic:cNvPicPr>
                  </pic:nvPicPr>
                  <pic:blipFill>
                    <a:blip r:embed="rId70"/>
                    <a:stretch>
                      <a:fillRect/>
                    </a:stretch>
                  </pic:blipFill>
                  <pic:spPr>
                    <a:xfrm>
                      <a:off x="0" y="0"/>
                      <a:ext cx="5449570" cy="7705090"/>
                    </a:xfrm>
                    <a:prstGeom prst="rect">
                      <a:avLst/>
                    </a:prstGeom>
                  </pic:spPr>
                </pic:pic>
              </a:graphicData>
            </a:graphic>
          </wp:inline>
        </w:drawing>
      </w:r>
    </w:p>
    <w:p w14:paraId="199D3617">
      <w:pPr>
        <w:spacing w:line="240" w:lineRule="auto"/>
        <w:ind w:left="0" w:leftChars="0" w:firstLine="0" w:firstLineChars="0"/>
        <w:outlineLvl w:val="0"/>
        <w:rPr>
          <w:rFonts w:hint="eastAsia" w:ascii="Times New Roman" w:hAnsi="Times New Roman" w:eastAsia="宋体" w:cs="宋体"/>
          <w:b/>
          <w:bCs w:val="0"/>
          <w:caps w:val="0"/>
          <w:sz w:val="24"/>
          <w:szCs w:val="18"/>
          <w:highlight w:val="none"/>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6118B323">
      <w:pPr>
        <w:spacing w:line="240" w:lineRule="auto"/>
        <w:ind w:left="0" w:leftChars="0" w:firstLine="0" w:firstLineChars="0"/>
        <w:outlineLvl w:val="0"/>
        <w:rPr>
          <w:rFonts w:hint="eastAsia" w:ascii="Times New Roman" w:hAnsi="Times New Roman" w:eastAsia="宋体" w:cs="宋体"/>
          <w:b/>
          <w:bCs w:val="0"/>
          <w:caps w:val="0"/>
          <w:sz w:val="24"/>
          <w:szCs w:val="18"/>
          <w:highlight w:val="none"/>
          <w:lang w:val="en-US" w:eastAsia="zh-CN"/>
        </w:rPr>
      </w:pPr>
      <w:bookmarkStart w:id="34" w:name="_Toc4352"/>
      <w:r>
        <w:rPr>
          <w:rFonts w:hint="eastAsia" w:ascii="Times New Roman" w:hAnsi="Times New Roman" w:eastAsia="宋体" w:cs="宋体"/>
          <w:b/>
          <w:bCs w:val="0"/>
          <w:caps w:val="0"/>
          <w:sz w:val="24"/>
          <w:szCs w:val="18"/>
          <w:highlight w:val="none"/>
          <w:lang w:val="en-US" w:eastAsia="zh-CN"/>
        </w:rPr>
        <w:t>附件6租赁协议</w:t>
      </w:r>
      <w:bookmarkEnd w:id="34"/>
    </w:p>
    <w:p w14:paraId="4F524C8A">
      <w:pPr>
        <w:pStyle w:val="19"/>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both"/>
        <w:textAlignment w:val="auto"/>
        <w:rPr>
          <w:rFonts w:hint="default" w:ascii="Times New Roman" w:hAnsi="Times New Roman" w:eastAsia="宋体" w:cs="宋体"/>
          <w:b/>
          <w:bCs w:val="0"/>
          <w:caps w:val="0"/>
          <w:sz w:val="21"/>
          <w:szCs w:val="15"/>
          <w:highlight w:val="none"/>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ascii="Times New Roman" w:hAnsi="Times New Roman" w:eastAsia="宋体" w:cs="宋体"/>
          <w:caps w:val="0"/>
          <w:highlight w:val="none"/>
        </w:rPr>
        <w:drawing>
          <wp:inline distT="0" distB="0" distL="114300" distR="114300">
            <wp:extent cx="5271135" cy="7452995"/>
            <wp:effectExtent l="0" t="0" r="5715" b="14605"/>
            <wp:docPr id="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pic:cNvPicPr>
                      <a:picLocks noChangeAspect="1"/>
                    </pic:cNvPicPr>
                  </pic:nvPicPr>
                  <pic:blipFill>
                    <a:blip r:embed="rId71"/>
                    <a:stretch>
                      <a:fillRect/>
                    </a:stretch>
                  </pic:blipFill>
                  <pic:spPr>
                    <a:xfrm>
                      <a:off x="0" y="0"/>
                      <a:ext cx="5271135" cy="7452995"/>
                    </a:xfrm>
                    <a:prstGeom prst="rect">
                      <a:avLst/>
                    </a:prstGeom>
                    <a:noFill/>
                    <a:ln>
                      <a:noFill/>
                    </a:ln>
                  </pic:spPr>
                </pic:pic>
              </a:graphicData>
            </a:graphic>
          </wp:inline>
        </w:drawing>
      </w:r>
      <w:r>
        <w:rPr>
          <w:rFonts w:ascii="Times New Roman" w:hAnsi="Times New Roman" w:eastAsia="宋体" w:cs="宋体"/>
          <w:caps w:val="0"/>
          <w:highlight w:val="none"/>
        </w:rPr>
        <w:drawing>
          <wp:inline distT="0" distB="0" distL="114300" distR="114300">
            <wp:extent cx="5254625" cy="7727315"/>
            <wp:effectExtent l="0" t="0" r="3175" b="6985"/>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72"/>
                    <a:stretch>
                      <a:fillRect/>
                    </a:stretch>
                  </pic:blipFill>
                  <pic:spPr>
                    <a:xfrm>
                      <a:off x="0" y="0"/>
                      <a:ext cx="5254625" cy="7727315"/>
                    </a:xfrm>
                    <a:prstGeom prst="rect">
                      <a:avLst/>
                    </a:prstGeom>
                    <a:noFill/>
                    <a:ln>
                      <a:noFill/>
                    </a:ln>
                  </pic:spPr>
                </pic:pic>
              </a:graphicData>
            </a:graphic>
          </wp:inline>
        </w:drawing>
      </w:r>
      <w:r>
        <w:rPr>
          <w:rFonts w:ascii="Times New Roman" w:hAnsi="Times New Roman" w:eastAsia="宋体" w:cs="宋体"/>
          <w:caps w:val="0"/>
          <w:highlight w:val="none"/>
        </w:rPr>
        <w:drawing>
          <wp:inline distT="0" distB="0" distL="114300" distR="114300">
            <wp:extent cx="5269865" cy="7666990"/>
            <wp:effectExtent l="0" t="0" r="6985" b="10160"/>
            <wp:docPr id="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pic:cNvPicPr>
                      <a:picLocks noChangeAspect="1"/>
                    </pic:cNvPicPr>
                  </pic:nvPicPr>
                  <pic:blipFill>
                    <a:blip r:embed="rId73"/>
                    <a:stretch>
                      <a:fillRect/>
                    </a:stretch>
                  </pic:blipFill>
                  <pic:spPr>
                    <a:xfrm>
                      <a:off x="0" y="0"/>
                      <a:ext cx="5269865" cy="7666990"/>
                    </a:xfrm>
                    <a:prstGeom prst="rect">
                      <a:avLst/>
                    </a:prstGeom>
                    <a:noFill/>
                    <a:ln>
                      <a:noFill/>
                    </a:ln>
                  </pic:spPr>
                </pic:pic>
              </a:graphicData>
            </a:graphic>
          </wp:inline>
        </w:drawing>
      </w:r>
    </w:p>
    <w:p w14:paraId="5350B016">
      <w:pPr>
        <w:pStyle w:val="7"/>
        <w:spacing w:line="240" w:lineRule="auto"/>
        <w:jc w:val="left"/>
        <w:rPr>
          <w:rFonts w:hint="eastAsia" w:ascii="Times New Roman" w:hAnsi="Times New Roman" w:eastAsia="宋体" w:cs="宋体"/>
          <w:b/>
          <w:bCs/>
          <w:caps w:val="0"/>
          <w:spacing w:val="0"/>
          <w:sz w:val="24"/>
          <w:szCs w:val="24"/>
          <w:highlight w:val="none"/>
          <w:lang w:val="en-US" w:eastAsia="zh-CN"/>
        </w:rPr>
      </w:pPr>
      <w:bookmarkStart w:id="35" w:name="_Toc17344"/>
      <w:r>
        <w:rPr>
          <w:rFonts w:hint="eastAsia" w:ascii="Times New Roman" w:hAnsi="Times New Roman" w:eastAsia="宋体" w:cs="宋体"/>
          <w:b/>
          <w:bCs/>
          <w:caps w:val="0"/>
          <w:spacing w:val="0"/>
          <w:sz w:val="24"/>
          <w:szCs w:val="24"/>
          <w:highlight w:val="none"/>
        </w:rPr>
        <w:t>附件</w:t>
      </w:r>
      <w:r>
        <w:rPr>
          <w:rFonts w:hint="eastAsia" w:ascii="Times New Roman" w:hAnsi="Times New Roman" w:eastAsia="宋体" w:cs="宋体"/>
          <w:b/>
          <w:bCs/>
          <w:caps w:val="0"/>
          <w:spacing w:val="0"/>
          <w:sz w:val="24"/>
          <w:szCs w:val="24"/>
          <w:highlight w:val="none"/>
          <w:lang w:val="en-US" w:eastAsia="zh-CN"/>
        </w:rPr>
        <w:t>6总量计算说明</w:t>
      </w:r>
      <w:bookmarkEnd w:id="35"/>
    </w:p>
    <w:p w14:paraId="41555A8A">
      <w:pPr>
        <w:pStyle w:val="75"/>
        <w:spacing w:line="360" w:lineRule="auto"/>
        <w:ind w:firstLine="480"/>
        <w:rPr>
          <w:rFonts w:hint="eastAsia" w:ascii="Times New Roman" w:hAnsi="Times New Roman" w:eastAsia="宋体" w:cs="宋体"/>
          <w:b/>
          <w:bCs/>
          <w:caps w:val="0"/>
          <w:spacing w:val="0"/>
          <w:sz w:val="24"/>
          <w:szCs w:val="24"/>
          <w:highlight w:val="none"/>
          <w:lang w:eastAsia="zh-CN"/>
        </w:rPr>
      </w:pPr>
      <w:r>
        <w:rPr>
          <w:rFonts w:hint="eastAsia" w:ascii="Times New Roman" w:hAnsi="Times New Roman" w:eastAsia="宋体" w:cs="宋体"/>
          <w:b/>
          <w:bCs/>
          <w:caps w:val="0"/>
          <w:spacing w:val="0"/>
          <w:sz w:val="24"/>
          <w:szCs w:val="24"/>
          <w:highlight w:val="none"/>
        </w:rPr>
        <w:t>废</w:t>
      </w:r>
      <w:r>
        <w:rPr>
          <w:rFonts w:hint="eastAsia" w:ascii="Times New Roman" w:hAnsi="Times New Roman" w:eastAsia="宋体" w:cs="宋体"/>
          <w:b/>
          <w:bCs/>
          <w:caps w:val="0"/>
          <w:spacing w:val="0"/>
          <w:sz w:val="24"/>
          <w:szCs w:val="24"/>
          <w:highlight w:val="none"/>
          <w:lang w:eastAsia="zh-CN"/>
        </w:rPr>
        <w:t>气</w:t>
      </w:r>
    </w:p>
    <w:p w14:paraId="54742B33">
      <w:pPr>
        <w:keepNext w:val="0"/>
        <w:keepLines w:val="0"/>
        <w:widowControl/>
        <w:suppressLineNumbers w:val="0"/>
        <w:spacing w:line="360" w:lineRule="auto"/>
        <w:jc w:val="left"/>
        <w:rPr>
          <w:rFonts w:hint="eastAsia" w:ascii="Times New Roman" w:hAnsi="Times New Roman" w:eastAsia="宋体" w:cs="宋体"/>
          <w:caps w:val="0"/>
          <w:spacing w:val="0"/>
          <w:sz w:val="24"/>
          <w:szCs w:val="24"/>
          <w:highlight w:val="none"/>
          <w:lang w:val="en-US" w:eastAsia="zh-CN"/>
        </w:rPr>
      </w:pPr>
      <w:r>
        <w:rPr>
          <w:rFonts w:hint="eastAsia" w:ascii="Times New Roman" w:hAnsi="Times New Roman" w:eastAsia="宋体" w:cs="宋体"/>
          <w:b w:val="0"/>
          <w:bCs/>
          <w:caps w:val="0"/>
          <w:color w:val="auto"/>
          <w:spacing w:val="0"/>
          <w:sz w:val="24"/>
          <w:szCs w:val="24"/>
          <w:highlight w:val="none"/>
          <w:lang w:val="en-US" w:eastAsia="zh-CN"/>
        </w:rPr>
        <w:t>本项目产生的废气主要为</w:t>
      </w:r>
      <w:r>
        <w:rPr>
          <w:rFonts w:hint="eastAsia" w:ascii="Times New Roman" w:hAnsi="Times New Roman" w:cs="宋体"/>
          <w:caps w:val="0"/>
          <w:color w:val="000000"/>
          <w:spacing w:val="0"/>
          <w:sz w:val="24"/>
          <w:highlight w:val="none"/>
          <w:lang w:val="en-US" w:eastAsia="zh-CN"/>
        </w:rPr>
        <w:t>导热油炉</w:t>
      </w:r>
      <w:r>
        <w:rPr>
          <w:rFonts w:hint="eastAsia" w:ascii="Times New Roman" w:hAnsi="Times New Roman" w:eastAsia="宋体" w:cs="宋体"/>
          <w:caps w:val="0"/>
          <w:color w:val="auto"/>
          <w:spacing w:val="0"/>
          <w:sz w:val="24"/>
          <w:szCs w:val="24"/>
          <w:highlight w:val="none"/>
          <w:lang w:val="en-US" w:eastAsia="zh-CN"/>
        </w:rPr>
        <w:t>产生的</w:t>
      </w:r>
      <w:r>
        <w:rPr>
          <w:rFonts w:hint="eastAsia" w:ascii="Times New Roman" w:hAnsi="Times New Roman" w:eastAsia="宋体" w:cs="宋体"/>
          <w:b w:val="0"/>
          <w:bCs/>
          <w:caps w:val="0"/>
          <w:color w:val="auto"/>
          <w:spacing w:val="0"/>
          <w:sz w:val="24"/>
          <w:szCs w:val="24"/>
          <w:highlight w:val="none"/>
          <w:lang w:val="en-US" w:eastAsia="zh-CN"/>
        </w:rPr>
        <w:t>颗粒物、二氧化硫、氮氧化物。产生的废气由2根20m高烟囱DA003、DA004有组织排放。</w:t>
      </w:r>
    </w:p>
    <w:p w14:paraId="2797A81D">
      <w:pPr>
        <w:pStyle w:val="5"/>
        <w:keepNext w:val="0"/>
        <w:keepLines w:val="0"/>
        <w:pageBreakBefore w:val="0"/>
        <w:widowControl/>
        <w:kinsoku/>
        <w:wordWrap/>
        <w:overflowPunct/>
        <w:topLinePunct w:val="0"/>
        <w:autoSpaceDE/>
        <w:autoSpaceDN/>
        <w:bidi w:val="0"/>
        <w:adjustRightInd w:val="0"/>
        <w:snapToGrid w:val="0"/>
        <w:spacing w:before="0" w:after="0" w:line="360" w:lineRule="auto"/>
        <w:ind w:right="0"/>
        <w:textAlignment w:val="auto"/>
        <w:rPr>
          <w:rFonts w:hint="eastAsia" w:ascii="Times New Roman" w:hAnsi="Times New Roman" w:eastAsia="宋体" w:cs="宋体"/>
          <w:bCs/>
          <w:caps w:val="0"/>
          <w:spacing w:val="0"/>
          <w:sz w:val="24"/>
          <w:szCs w:val="24"/>
          <w:highlight w:val="none"/>
          <w:lang w:val="en-US" w:eastAsia="zh-CN"/>
        </w:rPr>
      </w:pPr>
      <w:r>
        <w:rPr>
          <w:rFonts w:hint="eastAsia" w:ascii="Times New Roman" w:hAnsi="Times New Roman" w:eastAsia="宋体" w:cs="宋体"/>
          <w:caps w:val="0"/>
          <w:spacing w:val="0"/>
          <w:sz w:val="24"/>
          <w:szCs w:val="24"/>
          <w:highlight w:val="none"/>
          <w:lang w:eastAsia="zh-CN"/>
        </w:rPr>
        <w:t>根据《</w:t>
      </w:r>
      <w:r>
        <w:rPr>
          <w:rFonts w:hint="eastAsia" w:ascii="Times New Roman" w:hAnsi="Times New Roman" w:eastAsia="宋体" w:cs="宋体"/>
          <w:caps w:val="0"/>
          <w:spacing w:val="0"/>
          <w:sz w:val="24"/>
          <w:szCs w:val="24"/>
          <w:highlight w:val="none"/>
          <w:lang w:val="en-US" w:eastAsia="zh-CN"/>
        </w:rPr>
        <w:t>排污许可证申请与核发技术规范 锅炉》（HJ953-2018）中基准烟气量核算方法，</w:t>
      </w:r>
      <w:r>
        <w:rPr>
          <w:rFonts w:hint="eastAsia" w:ascii="Times New Roman" w:hAnsi="Times New Roman" w:eastAsia="宋体" w:cs="宋体"/>
          <w:caps w:val="0"/>
          <w:smallCaps w:val="0"/>
          <w:color w:val="auto"/>
          <w:kern w:val="0"/>
          <w:sz w:val="24"/>
          <w:szCs w:val="24"/>
          <w:highlight w:val="none"/>
          <w:lang w:val="en-US" w:eastAsia="zh-CN" w:bidi="ar-SA"/>
        </w:rPr>
        <w:t>本项目</w:t>
      </w:r>
      <w:r>
        <w:rPr>
          <w:rFonts w:hint="default" w:ascii="Times New Roman" w:hAnsi="Times New Roman" w:eastAsia="宋体" w:cs="宋体"/>
          <w:caps w:val="0"/>
          <w:smallCaps w:val="0"/>
          <w:color w:val="auto"/>
          <w:kern w:val="0"/>
          <w:sz w:val="24"/>
          <w:szCs w:val="24"/>
          <w:highlight w:val="none"/>
          <w:lang w:val="en-US" w:eastAsia="zh-CN" w:bidi="ar-SA"/>
        </w:rPr>
        <w:t>Qnet，ar=42</w:t>
      </w:r>
      <w:r>
        <w:rPr>
          <w:rFonts w:hint="eastAsia" w:ascii="Times New Roman" w:hAnsi="Times New Roman" w:eastAsia="宋体" w:cs="宋体"/>
          <w:caps w:val="0"/>
          <w:smallCaps w:val="0"/>
          <w:color w:val="auto"/>
          <w:kern w:val="0"/>
          <w:sz w:val="24"/>
          <w:szCs w:val="24"/>
          <w:highlight w:val="none"/>
          <w:lang w:val="en-US" w:eastAsia="zh-CN" w:bidi="ar-SA"/>
        </w:rPr>
        <w:t>.</w:t>
      </w:r>
      <w:r>
        <w:rPr>
          <w:rFonts w:hint="default" w:ascii="Times New Roman" w:hAnsi="Times New Roman" w:eastAsia="宋体" w:cs="宋体"/>
          <w:caps w:val="0"/>
          <w:smallCaps w:val="0"/>
          <w:color w:val="auto"/>
          <w:kern w:val="0"/>
          <w:sz w:val="24"/>
          <w:szCs w:val="24"/>
          <w:highlight w:val="none"/>
          <w:lang w:val="en-US" w:eastAsia="zh-CN" w:bidi="ar-SA"/>
        </w:rPr>
        <w:t>52MJ/kg</w:t>
      </w:r>
      <w:r>
        <w:rPr>
          <w:rFonts w:hint="eastAsia" w:ascii="Times New Roman" w:hAnsi="Times New Roman" w:eastAsia="宋体" w:cs="宋体"/>
          <w:caps w:val="0"/>
          <w:smallCaps w:val="0"/>
          <w:color w:val="auto"/>
          <w:kern w:val="0"/>
          <w:sz w:val="24"/>
          <w:szCs w:val="24"/>
          <w:highlight w:val="none"/>
          <w:lang w:val="en-US" w:eastAsia="zh-CN" w:bidi="ar-SA"/>
        </w:rPr>
        <w:t>，则基准烟气量</w:t>
      </w:r>
      <w:r>
        <w:rPr>
          <w:rFonts w:hint="default" w:ascii="Times New Roman" w:hAnsi="Times New Roman" w:eastAsia="宋体" w:cs="宋体"/>
          <w:caps w:val="0"/>
          <w:smallCaps w:val="0"/>
          <w:color w:val="auto"/>
          <w:kern w:val="0"/>
          <w:sz w:val="24"/>
          <w:szCs w:val="24"/>
          <w:highlight w:val="none"/>
          <w:lang w:val="en-US" w:eastAsia="zh-CN" w:bidi="ar-SA"/>
        </w:rPr>
        <w:t>Vgy=0</w:t>
      </w:r>
      <w:r>
        <w:rPr>
          <w:rFonts w:hint="eastAsia" w:ascii="Times New Roman" w:hAnsi="Times New Roman" w:eastAsia="宋体" w:cs="宋体"/>
          <w:caps w:val="0"/>
          <w:smallCaps w:val="0"/>
          <w:color w:val="auto"/>
          <w:kern w:val="0"/>
          <w:sz w:val="24"/>
          <w:szCs w:val="24"/>
          <w:highlight w:val="none"/>
          <w:lang w:val="en-US" w:eastAsia="zh-CN" w:bidi="ar-SA"/>
        </w:rPr>
        <w:t>.</w:t>
      </w:r>
      <w:r>
        <w:rPr>
          <w:rFonts w:hint="default" w:ascii="Times New Roman" w:hAnsi="Times New Roman" w:eastAsia="宋体" w:cs="宋体"/>
          <w:caps w:val="0"/>
          <w:smallCaps w:val="0"/>
          <w:color w:val="auto"/>
          <w:kern w:val="0"/>
          <w:sz w:val="24"/>
          <w:szCs w:val="24"/>
          <w:highlight w:val="none"/>
          <w:lang w:val="en-US" w:eastAsia="zh-CN" w:bidi="ar-SA"/>
        </w:rPr>
        <w:t>29Qnet,ar+0</w:t>
      </w:r>
      <w:r>
        <w:rPr>
          <w:rFonts w:hint="eastAsia" w:ascii="Times New Roman" w:hAnsi="Times New Roman" w:eastAsia="宋体" w:cs="宋体"/>
          <w:caps w:val="0"/>
          <w:smallCaps w:val="0"/>
          <w:color w:val="auto"/>
          <w:kern w:val="0"/>
          <w:sz w:val="24"/>
          <w:szCs w:val="24"/>
          <w:highlight w:val="none"/>
          <w:lang w:val="en-US" w:eastAsia="zh-CN" w:bidi="ar-SA"/>
        </w:rPr>
        <w:t>.</w:t>
      </w:r>
      <w:r>
        <w:rPr>
          <w:rFonts w:hint="default" w:ascii="Times New Roman" w:hAnsi="Times New Roman" w:eastAsia="宋体" w:cs="宋体"/>
          <w:caps w:val="0"/>
          <w:smallCaps w:val="0"/>
          <w:color w:val="auto"/>
          <w:kern w:val="0"/>
          <w:sz w:val="24"/>
          <w:szCs w:val="24"/>
          <w:highlight w:val="none"/>
          <w:lang w:val="en-US" w:eastAsia="zh-CN" w:bidi="ar-SA"/>
        </w:rPr>
        <w:t>379==12709</w:t>
      </w:r>
      <w:r>
        <w:rPr>
          <w:rFonts w:hint="eastAsia" w:ascii="Times New Roman" w:hAnsi="Times New Roman" w:eastAsia="宋体" w:cs="宋体"/>
          <w:caps w:val="0"/>
          <w:smallCaps w:val="0"/>
          <w:color w:val="auto"/>
          <w:kern w:val="0"/>
          <w:sz w:val="24"/>
          <w:szCs w:val="24"/>
          <w:highlight w:val="none"/>
          <w:lang w:val="en-US" w:eastAsia="zh-CN" w:bidi="ar-SA"/>
        </w:rPr>
        <w:t>.</w:t>
      </w:r>
      <w:r>
        <w:rPr>
          <w:rFonts w:hint="default" w:ascii="Times New Roman" w:hAnsi="Times New Roman" w:eastAsia="宋体" w:cs="宋体"/>
          <w:caps w:val="0"/>
          <w:smallCaps w:val="0"/>
          <w:color w:val="auto"/>
          <w:kern w:val="0"/>
          <w:sz w:val="24"/>
          <w:szCs w:val="24"/>
          <w:highlight w:val="none"/>
          <w:lang w:val="en-US" w:eastAsia="zh-CN" w:bidi="ar-SA"/>
        </w:rPr>
        <w:t>8Nm</w:t>
      </w:r>
      <w:r>
        <w:rPr>
          <w:rFonts w:hint="default" w:ascii="Times New Roman" w:hAnsi="Times New Roman" w:eastAsia="宋体" w:cs="宋体"/>
          <w:caps w:val="0"/>
          <w:smallCaps w:val="0"/>
          <w:color w:val="auto"/>
          <w:kern w:val="0"/>
          <w:sz w:val="24"/>
          <w:szCs w:val="24"/>
          <w:highlight w:val="none"/>
          <w:vertAlign w:val="superscript"/>
          <w:lang w:val="en-US" w:eastAsia="zh-CN" w:bidi="ar-SA"/>
        </w:rPr>
        <w:t>3</w:t>
      </w:r>
      <w:r>
        <w:rPr>
          <w:rFonts w:hint="default" w:ascii="Times New Roman" w:hAnsi="Times New Roman" w:eastAsia="宋体" w:cs="宋体"/>
          <w:caps w:val="0"/>
          <w:smallCaps w:val="0"/>
          <w:color w:val="auto"/>
          <w:kern w:val="0"/>
          <w:sz w:val="24"/>
          <w:szCs w:val="24"/>
          <w:highlight w:val="none"/>
          <w:lang w:val="en-US" w:eastAsia="zh-CN" w:bidi="ar-SA"/>
        </w:rPr>
        <w:t>/t</w:t>
      </w:r>
      <w:r>
        <w:rPr>
          <w:rFonts w:hint="eastAsia" w:ascii="Times New Roman" w:hAnsi="Times New Roman" w:eastAsia="宋体" w:cs="宋体"/>
          <w:caps w:val="0"/>
          <w:smallCaps w:val="0"/>
          <w:color w:val="auto"/>
          <w:kern w:val="0"/>
          <w:sz w:val="24"/>
          <w:szCs w:val="24"/>
          <w:highlight w:val="none"/>
          <w:lang w:val="en-US" w:eastAsia="zh-CN" w:bidi="ar-SA"/>
        </w:rPr>
        <w:t>。</w:t>
      </w:r>
    </w:p>
    <w:p w14:paraId="701FF986">
      <w:pPr>
        <w:pStyle w:val="130"/>
        <w:keepNext w:val="0"/>
        <w:keepLines w:val="0"/>
        <w:pageBreakBefore w:val="0"/>
        <w:kinsoku/>
        <w:wordWrap/>
        <w:overflowPunct/>
        <w:topLinePunct w:val="0"/>
        <w:autoSpaceDE/>
        <w:autoSpaceDN/>
        <w:bidi w:val="0"/>
        <w:adjustRightInd/>
        <w:spacing w:line="360" w:lineRule="auto"/>
        <w:ind w:left="0" w:leftChars="0" w:right="0" w:firstLine="480" w:firstLineChars="200"/>
        <w:textAlignment w:val="auto"/>
        <w:rPr>
          <w:rFonts w:hint="eastAsia" w:ascii="Times New Roman" w:hAnsi="Times New Roman" w:eastAsia="宋体" w:cs="宋体"/>
          <w:caps w:val="0"/>
          <w:color w:val="auto"/>
          <w:sz w:val="24"/>
          <w:highlight w:val="none"/>
          <w:lang w:val="en-US" w:eastAsia="zh-CN"/>
        </w:rPr>
      </w:pPr>
      <w:r>
        <w:rPr>
          <w:rFonts w:hint="eastAsia" w:ascii="Times New Roman" w:hAnsi="Times New Roman" w:eastAsia="宋体" w:cs="宋体"/>
          <w:caps w:val="0"/>
          <w:color w:val="auto"/>
          <w:sz w:val="24"/>
          <w:highlight w:val="none"/>
          <w:lang w:val="en-US" w:eastAsia="zh-CN"/>
        </w:rPr>
        <w:t>颗粒物核定排放量=12709.8Nm</w:t>
      </w:r>
      <w:r>
        <w:rPr>
          <w:rFonts w:hint="eastAsia" w:ascii="Times New Roman" w:hAnsi="Times New Roman" w:eastAsia="宋体" w:cs="宋体"/>
          <w:caps w:val="0"/>
          <w:color w:val="auto"/>
          <w:sz w:val="24"/>
          <w:highlight w:val="none"/>
          <w:vertAlign w:val="superscript"/>
          <w:lang w:val="en-US" w:eastAsia="zh-CN"/>
        </w:rPr>
        <w:t>3</w:t>
      </w:r>
      <w:r>
        <w:rPr>
          <w:rFonts w:hint="eastAsia" w:ascii="Times New Roman" w:hAnsi="Times New Roman" w:eastAsia="宋体" w:cs="宋体"/>
          <w:caps w:val="0"/>
          <w:color w:val="auto"/>
          <w:sz w:val="24"/>
          <w:highlight w:val="none"/>
          <w:lang w:val="en-US" w:eastAsia="zh-CN"/>
        </w:rPr>
        <w:t>/t×416.34t/a×30mg/m</w:t>
      </w:r>
      <w:r>
        <w:rPr>
          <w:rFonts w:hint="eastAsia" w:ascii="Times New Roman" w:hAnsi="Times New Roman" w:eastAsia="宋体" w:cs="宋体"/>
          <w:caps w:val="0"/>
          <w:color w:val="auto"/>
          <w:sz w:val="24"/>
          <w:highlight w:val="none"/>
          <w:vertAlign w:val="superscript"/>
          <w:lang w:val="en-US" w:eastAsia="zh-CN"/>
        </w:rPr>
        <w:t>3</w:t>
      </w:r>
      <w:r>
        <w:rPr>
          <w:rFonts w:hint="eastAsia" w:ascii="Times New Roman" w:hAnsi="Times New Roman" w:eastAsia="宋体" w:cs="宋体"/>
          <w:caps w:val="0"/>
          <w:color w:val="auto"/>
          <w:sz w:val="24"/>
          <w:highlight w:val="none"/>
          <w:lang w:val="en-US" w:eastAsia="zh-CN"/>
        </w:rPr>
        <w:t>×10</w:t>
      </w:r>
      <w:r>
        <w:rPr>
          <w:rFonts w:hint="eastAsia" w:ascii="Times New Roman" w:hAnsi="Times New Roman" w:eastAsia="宋体" w:cs="宋体"/>
          <w:caps w:val="0"/>
          <w:color w:val="auto"/>
          <w:sz w:val="24"/>
          <w:highlight w:val="none"/>
          <w:vertAlign w:val="superscript"/>
          <w:lang w:val="en-US" w:eastAsia="zh-CN"/>
        </w:rPr>
        <w:t>-9</w:t>
      </w:r>
      <w:r>
        <w:rPr>
          <w:rFonts w:hint="eastAsia" w:ascii="Times New Roman" w:hAnsi="Times New Roman" w:eastAsia="宋体" w:cs="宋体"/>
          <w:caps w:val="0"/>
          <w:color w:val="auto"/>
          <w:sz w:val="24"/>
          <w:highlight w:val="none"/>
          <w:lang w:val="en-US" w:eastAsia="zh-CN"/>
        </w:rPr>
        <w:t>=0.1587t/a；</w:t>
      </w:r>
    </w:p>
    <w:p w14:paraId="6060979E">
      <w:pPr>
        <w:pStyle w:val="130"/>
        <w:keepNext w:val="0"/>
        <w:keepLines w:val="0"/>
        <w:pageBreakBefore w:val="0"/>
        <w:kinsoku/>
        <w:wordWrap/>
        <w:overflowPunct/>
        <w:topLinePunct w:val="0"/>
        <w:autoSpaceDE/>
        <w:autoSpaceDN/>
        <w:bidi w:val="0"/>
        <w:adjustRightInd/>
        <w:spacing w:line="360" w:lineRule="auto"/>
        <w:ind w:left="0" w:leftChars="0" w:right="0" w:firstLine="480" w:firstLineChars="200"/>
        <w:textAlignment w:val="auto"/>
        <w:rPr>
          <w:rFonts w:hint="eastAsia" w:ascii="Times New Roman" w:hAnsi="Times New Roman" w:eastAsia="宋体" w:cs="宋体"/>
          <w:caps w:val="0"/>
          <w:color w:val="auto"/>
          <w:sz w:val="24"/>
          <w:highlight w:val="none"/>
          <w:lang w:val="en-US" w:eastAsia="zh-CN"/>
        </w:rPr>
      </w:pPr>
      <w:r>
        <w:rPr>
          <w:rFonts w:hint="eastAsia" w:ascii="Times New Roman" w:hAnsi="Times New Roman" w:eastAsia="宋体" w:cs="宋体"/>
          <w:caps w:val="0"/>
          <w:color w:val="auto"/>
          <w:sz w:val="24"/>
          <w:highlight w:val="none"/>
          <w:lang w:val="en-US" w:eastAsia="zh-CN"/>
        </w:rPr>
        <w:t>SO</w:t>
      </w:r>
      <w:r>
        <w:rPr>
          <w:rFonts w:hint="eastAsia" w:ascii="Times New Roman" w:hAnsi="Times New Roman" w:eastAsia="宋体" w:cs="宋体"/>
          <w:caps w:val="0"/>
          <w:color w:val="auto"/>
          <w:sz w:val="24"/>
          <w:highlight w:val="none"/>
          <w:vertAlign w:val="subscript"/>
          <w:lang w:val="en-US" w:eastAsia="zh-CN"/>
        </w:rPr>
        <w:t>2</w:t>
      </w:r>
      <w:r>
        <w:rPr>
          <w:rFonts w:hint="eastAsia" w:ascii="Times New Roman" w:hAnsi="Times New Roman" w:eastAsia="宋体" w:cs="宋体"/>
          <w:caps w:val="0"/>
          <w:color w:val="auto"/>
          <w:sz w:val="24"/>
          <w:highlight w:val="none"/>
          <w:lang w:val="en-US" w:eastAsia="zh-CN"/>
        </w:rPr>
        <w:t>核定排放量=12709.8Nm</w:t>
      </w:r>
      <w:r>
        <w:rPr>
          <w:rFonts w:hint="eastAsia" w:ascii="Times New Roman" w:hAnsi="Times New Roman" w:eastAsia="宋体" w:cs="宋体"/>
          <w:caps w:val="0"/>
          <w:color w:val="auto"/>
          <w:sz w:val="24"/>
          <w:highlight w:val="none"/>
          <w:vertAlign w:val="superscript"/>
          <w:lang w:val="en-US" w:eastAsia="zh-CN"/>
        </w:rPr>
        <w:t>3</w:t>
      </w:r>
      <w:r>
        <w:rPr>
          <w:rFonts w:hint="eastAsia" w:ascii="Times New Roman" w:hAnsi="Times New Roman" w:eastAsia="宋体" w:cs="宋体"/>
          <w:caps w:val="0"/>
          <w:color w:val="auto"/>
          <w:sz w:val="24"/>
          <w:highlight w:val="none"/>
          <w:lang w:val="en-US" w:eastAsia="zh-CN"/>
        </w:rPr>
        <w:t>/t×416.34t/a×200mg/m</w:t>
      </w:r>
      <w:r>
        <w:rPr>
          <w:rFonts w:hint="eastAsia" w:ascii="Times New Roman" w:hAnsi="Times New Roman" w:eastAsia="宋体" w:cs="宋体"/>
          <w:caps w:val="0"/>
          <w:color w:val="auto"/>
          <w:sz w:val="24"/>
          <w:highlight w:val="none"/>
          <w:vertAlign w:val="superscript"/>
          <w:lang w:val="en-US" w:eastAsia="zh-CN"/>
        </w:rPr>
        <w:t>3</w:t>
      </w:r>
      <w:r>
        <w:rPr>
          <w:rFonts w:hint="eastAsia" w:ascii="Times New Roman" w:hAnsi="Times New Roman" w:eastAsia="宋体" w:cs="宋体"/>
          <w:caps w:val="0"/>
          <w:color w:val="auto"/>
          <w:sz w:val="24"/>
          <w:highlight w:val="none"/>
          <w:lang w:val="en-US" w:eastAsia="zh-CN"/>
        </w:rPr>
        <w:t>×0.8×10</w:t>
      </w:r>
      <w:r>
        <w:rPr>
          <w:rFonts w:hint="eastAsia" w:ascii="Times New Roman" w:hAnsi="Times New Roman" w:eastAsia="宋体" w:cs="宋体"/>
          <w:caps w:val="0"/>
          <w:color w:val="auto"/>
          <w:sz w:val="24"/>
          <w:highlight w:val="none"/>
          <w:vertAlign w:val="superscript"/>
          <w:lang w:val="en-US" w:eastAsia="zh-CN"/>
        </w:rPr>
        <w:t>-9</w:t>
      </w:r>
      <w:r>
        <w:rPr>
          <w:rFonts w:hint="eastAsia" w:ascii="Times New Roman" w:hAnsi="Times New Roman" w:eastAsia="宋体" w:cs="宋体"/>
          <w:caps w:val="0"/>
          <w:color w:val="auto"/>
          <w:sz w:val="24"/>
          <w:highlight w:val="none"/>
          <w:lang w:val="en-US" w:eastAsia="zh-CN"/>
        </w:rPr>
        <w:t>=1.0583t/a；</w:t>
      </w:r>
    </w:p>
    <w:p w14:paraId="0A224EE1">
      <w:pPr>
        <w:keepNext w:val="0"/>
        <w:keepLines w:val="0"/>
        <w:pageBreakBefore w:val="0"/>
        <w:widowControl/>
        <w:kinsoku/>
        <w:wordWrap/>
        <w:overflowPunct/>
        <w:topLinePunct w:val="0"/>
        <w:autoSpaceDE/>
        <w:autoSpaceDN/>
        <w:bidi w:val="0"/>
        <w:adjustRightInd/>
        <w:snapToGrid/>
        <w:spacing w:line="360" w:lineRule="auto"/>
        <w:ind w:firstLine="720" w:firstLineChars="300"/>
        <w:jc w:val="left"/>
        <w:textAlignment w:val="auto"/>
        <w:rPr>
          <w:rFonts w:hint="default" w:ascii="Times New Roman" w:hAnsi="Times New Roman" w:eastAsia="宋体" w:cs="宋体"/>
          <w:bCs w:val="0"/>
          <w:caps w:val="0"/>
          <w:color w:val="auto"/>
          <w:spacing w:val="0"/>
          <w:kern w:val="0"/>
          <w:sz w:val="24"/>
          <w:highlight w:val="none"/>
          <w:lang w:eastAsia="zh-CN"/>
        </w:rPr>
      </w:pPr>
      <w:r>
        <w:rPr>
          <w:rFonts w:hint="eastAsia" w:ascii="Times New Roman" w:hAnsi="Times New Roman" w:eastAsia="宋体" w:cs="宋体"/>
          <w:caps w:val="0"/>
          <w:color w:val="auto"/>
          <w:sz w:val="24"/>
          <w:highlight w:val="none"/>
          <w:lang w:val="en-US" w:eastAsia="zh-CN"/>
        </w:rPr>
        <w:t>NO</w:t>
      </w:r>
      <w:r>
        <w:rPr>
          <w:rFonts w:hint="eastAsia" w:ascii="Times New Roman" w:hAnsi="Times New Roman" w:eastAsia="宋体" w:cs="宋体"/>
          <w:caps w:val="0"/>
          <w:color w:val="auto"/>
          <w:sz w:val="24"/>
          <w:highlight w:val="none"/>
          <w:vertAlign w:val="subscript"/>
          <w:lang w:val="en-US" w:eastAsia="zh-CN"/>
        </w:rPr>
        <w:t>X</w:t>
      </w:r>
      <w:r>
        <w:rPr>
          <w:rFonts w:hint="eastAsia" w:ascii="Times New Roman" w:hAnsi="Times New Roman" w:eastAsia="宋体" w:cs="宋体"/>
          <w:caps w:val="0"/>
          <w:color w:val="auto"/>
          <w:sz w:val="24"/>
          <w:highlight w:val="none"/>
          <w:lang w:val="en-US" w:eastAsia="zh-CN"/>
        </w:rPr>
        <w:t>核定排放量=12709.8Nm</w:t>
      </w:r>
      <w:r>
        <w:rPr>
          <w:rFonts w:hint="eastAsia" w:ascii="Times New Roman" w:hAnsi="Times New Roman" w:eastAsia="宋体" w:cs="宋体"/>
          <w:caps w:val="0"/>
          <w:color w:val="auto"/>
          <w:sz w:val="24"/>
          <w:highlight w:val="none"/>
          <w:vertAlign w:val="superscript"/>
          <w:lang w:val="en-US" w:eastAsia="zh-CN"/>
        </w:rPr>
        <w:t>3</w:t>
      </w:r>
      <w:r>
        <w:rPr>
          <w:rFonts w:hint="eastAsia" w:ascii="Times New Roman" w:hAnsi="Times New Roman" w:eastAsia="宋体" w:cs="宋体"/>
          <w:caps w:val="0"/>
          <w:color w:val="auto"/>
          <w:sz w:val="24"/>
          <w:highlight w:val="none"/>
          <w:lang w:val="en-US" w:eastAsia="zh-CN"/>
        </w:rPr>
        <w:t>/t×416.34t/a×250mg/m</w:t>
      </w:r>
      <w:r>
        <w:rPr>
          <w:rFonts w:hint="eastAsia" w:ascii="Times New Roman" w:hAnsi="Times New Roman" w:eastAsia="宋体" w:cs="宋体"/>
          <w:caps w:val="0"/>
          <w:color w:val="auto"/>
          <w:sz w:val="24"/>
          <w:highlight w:val="none"/>
          <w:vertAlign w:val="superscript"/>
          <w:lang w:val="en-US" w:eastAsia="zh-CN"/>
        </w:rPr>
        <w:t>3</w:t>
      </w:r>
      <w:r>
        <w:rPr>
          <w:rFonts w:hint="eastAsia" w:ascii="Times New Roman" w:hAnsi="Times New Roman" w:eastAsia="宋体" w:cs="宋体"/>
          <w:caps w:val="0"/>
          <w:color w:val="auto"/>
          <w:sz w:val="24"/>
          <w:highlight w:val="none"/>
          <w:lang w:val="en-US" w:eastAsia="zh-CN"/>
        </w:rPr>
        <w:t>×10</w:t>
      </w:r>
      <w:r>
        <w:rPr>
          <w:rFonts w:hint="eastAsia" w:ascii="Times New Roman" w:hAnsi="Times New Roman" w:eastAsia="宋体" w:cs="宋体"/>
          <w:caps w:val="0"/>
          <w:color w:val="auto"/>
          <w:sz w:val="24"/>
          <w:highlight w:val="none"/>
          <w:vertAlign w:val="superscript"/>
          <w:lang w:val="en-US" w:eastAsia="zh-CN"/>
        </w:rPr>
        <w:t>-9</w:t>
      </w:r>
      <w:r>
        <w:rPr>
          <w:rFonts w:hint="eastAsia" w:ascii="Times New Roman" w:hAnsi="Times New Roman" w:eastAsia="宋体" w:cs="宋体"/>
          <w:caps w:val="0"/>
          <w:color w:val="auto"/>
          <w:sz w:val="24"/>
          <w:highlight w:val="none"/>
          <w:lang w:val="en-US" w:eastAsia="zh-CN"/>
        </w:rPr>
        <w:t>=1.3229t/a。</w:t>
      </w:r>
    </w:p>
    <w:p w14:paraId="58F6422E">
      <w:pPr>
        <w:rPr>
          <w:rFonts w:hint="default" w:ascii="Times New Roman" w:hAnsi="Times New Roman" w:eastAsia="宋体" w:cs="宋体"/>
          <w:caps w:val="0"/>
          <w:highlight w:val="none"/>
          <w:lang w:val="en-US" w:eastAsia="zh-CN"/>
        </w:rPr>
        <w:sectPr>
          <w:footerReference r:id="rId14"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6233C5BD">
      <w:pPr>
        <w:pStyle w:val="42"/>
        <w:jc w:val="both"/>
        <w:outlineLvl w:val="0"/>
        <w:rPr>
          <w:rFonts w:hint="eastAsia" w:ascii="Times New Roman" w:hAnsi="Times New Roman" w:eastAsia="宋体" w:cs="宋体"/>
          <w:b/>
          <w:bCs/>
          <w:caps w:val="0"/>
          <w:highlight w:val="none"/>
          <w:lang w:val="en-US" w:eastAsia="zh-CN"/>
        </w:rPr>
      </w:pPr>
      <w:bookmarkStart w:id="36" w:name="_Toc28469"/>
      <w:r>
        <w:rPr>
          <w:rFonts w:hint="eastAsia" w:ascii="Times New Roman" w:hAnsi="Times New Roman" w:eastAsia="宋体" w:cs="宋体"/>
          <w:b/>
          <w:bCs/>
          <w:caps w:val="0"/>
          <w:highlight w:val="none"/>
          <w:lang w:val="en-US" w:eastAsia="zh-CN"/>
        </w:rPr>
        <w:t>附件7 生态环境分区管控分析报告</w:t>
      </w:r>
      <w:bookmarkEnd w:id="36"/>
    </w:p>
    <w:p w14:paraId="218E02D7">
      <w:pPr>
        <w:pStyle w:val="42"/>
        <w:jc w:val="center"/>
        <w:outlineLvl w:val="9"/>
        <w:rPr>
          <w:rFonts w:hint="eastAsia" w:ascii="Times New Roman" w:hAnsi="Times New Roman" w:eastAsia="宋体" w:cs="宋体"/>
          <w:b/>
          <w:bCs/>
          <w:caps w:val="0"/>
          <w:highlight w:val="none"/>
          <w:lang w:val="en-US" w:eastAsia="zh-CN"/>
        </w:rPr>
      </w:pPr>
      <w:r>
        <w:rPr>
          <w:rFonts w:hint="eastAsia" w:ascii="Times New Roman" w:hAnsi="Times New Roman" w:eastAsia="宋体" w:cs="宋体"/>
          <w:b/>
          <w:bCs/>
          <w:caps w:val="0"/>
          <w:highlight w:val="none"/>
          <w:lang w:val="en-US" w:eastAsia="zh-CN"/>
        </w:rPr>
        <w:drawing>
          <wp:inline distT="0" distB="0" distL="114300" distR="114300">
            <wp:extent cx="7205980" cy="5095875"/>
            <wp:effectExtent l="0" t="0" r="13970" b="9525"/>
            <wp:docPr id="44" name="图片 44" descr="鸡西市燎盛新材料科技有限公司锅炉改造_2025年10月13日090548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鸡西市燎盛新材料科技有限公司锅炉改造_2025年10月13日090548_分析报告_01"/>
                    <pic:cNvPicPr>
                      <a:picLocks noChangeAspect="1"/>
                    </pic:cNvPicPr>
                  </pic:nvPicPr>
                  <pic:blipFill>
                    <a:blip r:embed="rId74"/>
                    <a:stretch>
                      <a:fillRect/>
                    </a:stretch>
                  </pic:blipFill>
                  <pic:spPr>
                    <a:xfrm>
                      <a:off x="0" y="0"/>
                      <a:ext cx="7205980" cy="5095875"/>
                    </a:xfrm>
                    <a:prstGeom prst="rect">
                      <a:avLst/>
                    </a:prstGeom>
                  </pic:spPr>
                </pic:pic>
              </a:graphicData>
            </a:graphic>
          </wp:inline>
        </w:drawing>
      </w:r>
      <w:r>
        <w:rPr>
          <w:rFonts w:hint="eastAsia" w:ascii="Times New Roman" w:hAnsi="Times New Roman" w:eastAsia="宋体" w:cs="宋体"/>
          <w:b/>
          <w:bCs/>
          <w:caps w:val="0"/>
          <w:highlight w:val="none"/>
          <w:lang w:val="en-US" w:eastAsia="zh-CN"/>
        </w:rPr>
        <w:drawing>
          <wp:inline distT="0" distB="0" distL="114300" distR="114300">
            <wp:extent cx="7207250" cy="5095875"/>
            <wp:effectExtent l="0" t="0" r="12700" b="9525"/>
            <wp:docPr id="45" name="图片 45" descr="鸡西市燎盛新材料科技有限公司锅炉改造_2025年10月13日090548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鸡西市燎盛新材料科技有限公司锅炉改造_2025年10月13日090548_分析报告_02"/>
                    <pic:cNvPicPr>
                      <a:picLocks noChangeAspect="1"/>
                    </pic:cNvPicPr>
                  </pic:nvPicPr>
                  <pic:blipFill>
                    <a:blip r:embed="rId75"/>
                    <a:stretch>
                      <a:fillRect/>
                    </a:stretch>
                  </pic:blipFill>
                  <pic:spPr>
                    <a:xfrm>
                      <a:off x="0" y="0"/>
                      <a:ext cx="7207250" cy="5095875"/>
                    </a:xfrm>
                    <a:prstGeom prst="rect">
                      <a:avLst/>
                    </a:prstGeom>
                  </pic:spPr>
                </pic:pic>
              </a:graphicData>
            </a:graphic>
          </wp:inline>
        </w:drawing>
      </w:r>
      <w:r>
        <w:rPr>
          <w:rFonts w:hint="eastAsia" w:ascii="Times New Roman" w:hAnsi="Times New Roman" w:eastAsia="宋体" w:cs="宋体"/>
          <w:b/>
          <w:bCs/>
          <w:caps w:val="0"/>
          <w:highlight w:val="none"/>
          <w:lang w:val="en-US" w:eastAsia="zh-CN"/>
        </w:rPr>
        <w:drawing>
          <wp:inline distT="0" distB="0" distL="114300" distR="114300">
            <wp:extent cx="7207250" cy="5095875"/>
            <wp:effectExtent l="0" t="0" r="12700" b="9525"/>
            <wp:docPr id="46" name="图片 46" descr="鸡西市燎盛新材料科技有限公司锅炉改造_2025年10月13日090548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鸡西市燎盛新材料科技有限公司锅炉改造_2025年10月13日090548_分析报告_03"/>
                    <pic:cNvPicPr>
                      <a:picLocks noChangeAspect="1"/>
                    </pic:cNvPicPr>
                  </pic:nvPicPr>
                  <pic:blipFill>
                    <a:blip r:embed="rId76"/>
                    <a:stretch>
                      <a:fillRect/>
                    </a:stretch>
                  </pic:blipFill>
                  <pic:spPr>
                    <a:xfrm>
                      <a:off x="0" y="0"/>
                      <a:ext cx="7207250" cy="5095875"/>
                    </a:xfrm>
                    <a:prstGeom prst="rect">
                      <a:avLst/>
                    </a:prstGeom>
                  </pic:spPr>
                </pic:pic>
              </a:graphicData>
            </a:graphic>
          </wp:inline>
        </w:drawing>
      </w:r>
      <w:r>
        <w:rPr>
          <w:rFonts w:hint="eastAsia" w:ascii="Times New Roman" w:hAnsi="Times New Roman" w:eastAsia="宋体" w:cs="宋体"/>
          <w:b/>
          <w:bCs/>
          <w:caps w:val="0"/>
          <w:highlight w:val="none"/>
          <w:lang w:val="en-US" w:eastAsia="zh-CN"/>
        </w:rPr>
        <w:drawing>
          <wp:inline distT="0" distB="0" distL="114300" distR="114300">
            <wp:extent cx="7207250" cy="5095875"/>
            <wp:effectExtent l="0" t="0" r="12700" b="9525"/>
            <wp:docPr id="47" name="图片 47" descr="鸡西市燎盛新材料科技有限公司锅炉改造_2025年10月13日090548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鸡西市燎盛新材料科技有限公司锅炉改造_2025年10月13日090548_分析报告_04"/>
                    <pic:cNvPicPr>
                      <a:picLocks noChangeAspect="1"/>
                    </pic:cNvPicPr>
                  </pic:nvPicPr>
                  <pic:blipFill>
                    <a:blip r:embed="rId77"/>
                    <a:stretch>
                      <a:fillRect/>
                    </a:stretch>
                  </pic:blipFill>
                  <pic:spPr>
                    <a:xfrm>
                      <a:off x="0" y="0"/>
                      <a:ext cx="7207250" cy="5095875"/>
                    </a:xfrm>
                    <a:prstGeom prst="rect">
                      <a:avLst/>
                    </a:prstGeom>
                  </pic:spPr>
                </pic:pic>
              </a:graphicData>
            </a:graphic>
          </wp:inline>
        </w:drawing>
      </w:r>
      <w:r>
        <w:rPr>
          <w:rFonts w:hint="eastAsia" w:ascii="Times New Roman" w:hAnsi="Times New Roman" w:eastAsia="宋体" w:cs="宋体"/>
          <w:b/>
          <w:bCs/>
          <w:caps w:val="0"/>
          <w:highlight w:val="none"/>
          <w:lang w:val="en-US" w:eastAsia="zh-CN"/>
        </w:rPr>
        <w:drawing>
          <wp:inline distT="0" distB="0" distL="114300" distR="114300">
            <wp:extent cx="7207250" cy="5095875"/>
            <wp:effectExtent l="0" t="0" r="12700" b="9525"/>
            <wp:docPr id="52" name="图片 52" descr="鸡西市燎盛新材料科技有限公司锅炉改造_2025年10月13日090548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鸡西市燎盛新材料科技有限公司锅炉改造_2025年10月13日090548_分析报告_05"/>
                    <pic:cNvPicPr>
                      <a:picLocks noChangeAspect="1"/>
                    </pic:cNvPicPr>
                  </pic:nvPicPr>
                  <pic:blipFill>
                    <a:blip r:embed="rId78"/>
                    <a:stretch>
                      <a:fillRect/>
                    </a:stretch>
                  </pic:blipFill>
                  <pic:spPr>
                    <a:xfrm>
                      <a:off x="0" y="0"/>
                      <a:ext cx="7207250" cy="5095875"/>
                    </a:xfrm>
                    <a:prstGeom prst="rect">
                      <a:avLst/>
                    </a:prstGeom>
                  </pic:spPr>
                </pic:pic>
              </a:graphicData>
            </a:graphic>
          </wp:inline>
        </w:drawing>
      </w:r>
      <w:r>
        <w:rPr>
          <w:rFonts w:hint="eastAsia" w:ascii="Times New Roman" w:hAnsi="Times New Roman" w:eastAsia="宋体" w:cs="宋体"/>
          <w:b/>
          <w:bCs/>
          <w:caps w:val="0"/>
          <w:highlight w:val="none"/>
          <w:lang w:val="en-US" w:eastAsia="zh-CN"/>
        </w:rPr>
        <w:drawing>
          <wp:inline distT="0" distB="0" distL="114300" distR="114300">
            <wp:extent cx="7207250" cy="5095875"/>
            <wp:effectExtent l="0" t="0" r="12700" b="9525"/>
            <wp:docPr id="53" name="图片 53" descr="鸡西市燎盛新材料科技有限公司锅炉改造_2025年10月13日090548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鸡西市燎盛新材料科技有限公司锅炉改造_2025年10月13日090548_分析报告_06"/>
                    <pic:cNvPicPr>
                      <a:picLocks noChangeAspect="1"/>
                    </pic:cNvPicPr>
                  </pic:nvPicPr>
                  <pic:blipFill>
                    <a:blip r:embed="rId79"/>
                    <a:stretch>
                      <a:fillRect/>
                    </a:stretch>
                  </pic:blipFill>
                  <pic:spPr>
                    <a:xfrm>
                      <a:off x="0" y="0"/>
                      <a:ext cx="7207250" cy="5095875"/>
                    </a:xfrm>
                    <a:prstGeom prst="rect">
                      <a:avLst/>
                    </a:prstGeom>
                  </pic:spPr>
                </pic:pic>
              </a:graphicData>
            </a:graphic>
          </wp:inline>
        </w:drawing>
      </w:r>
      <w:r>
        <w:rPr>
          <w:rFonts w:hint="eastAsia" w:ascii="Times New Roman" w:hAnsi="Times New Roman" w:eastAsia="宋体" w:cs="宋体"/>
          <w:b/>
          <w:bCs/>
          <w:caps w:val="0"/>
          <w:highlight w:val="none"/>
          <w:lang w:val="en-US" w:eastAsia="zh-CN"/>
        </w:rPr>
        <w:drawing>
          <wp:inline distT="0" distB="0" distL="114300" distR="114300">
            <wp:extent cx="7207250" cy="5095875"/>
            <wp:effectExtent l="0" t="0" r="12700" b="9525"/>
            <wp:docPr id="54" name="图片 54" descr="鸡西市燎盛新材料科技有限公司锅炉改造_2025年10月13日090548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鸡西市燎盛新材料科技有限公司锅炉改造_2025年10月13日090548_分析报告_07"/>
                    <pic:cNvPicPr>
                      <a:picLocks noChangeAspect="1"/>
                    </pic:cNvPicPr>
                  </pic:nvPicPr>
                  <pic:blipFill>
                    <a:blip r:embed="rId80"/>
                    <a:stretch>
                      <a:fillRect/>
                    </a:stretch>
                  </pic:blipFill>
                  <pic:spPr>
                    <a:xfrm>
                      <a:off x="0" y="0"/>
                      <a:ext cx="7207250" cy="5095875"/>
                    </a:xfrm>
                    <a:prstGeom prst="rect">
                      <a:avLst/>
                    </a:prstGeom>
                  </pic:spPr>
                </pic:pic>
              </a:graphicData>
            </a:graphic>
          </wp:inline>
        </w:drawing>
      </w:r>
      <w:r>
        <w:rPr>
          <w:rFonts w:hint="eastAsia" w:ascii="Times New Roman" w:hAnsi="Times New Roman" w:eastAsia="宋体" w:cs="宋体"/>
          <w:b/>
          <w:bCs/>
          <w:caps w:val="0"/>
          <w:highlight w:val="none"/>
          <w:lang w:val="en-US" w:eastAsia="zh-CN"/>
        </w:rPr>
        <w:drawing>
          <wp:inline distT="0" distB="0" distL="114300" distR="114300">
            <wp:extent cx="7207250" cy="5095875"/>
            <wp:effectExtent l="0" t="0" r="12700" b="9525"/>
            <wp:docPr id="55" name="图片 55" descr="鸡西市燎盛新材料科技有限公司锅炉改造_2025年10月13日090548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鸡西市燎盛新材料科技有限公司锅炉改造_2025年10月13日090548_分析报告_08"/>
                    <pic:cNvPicPr>
                      <a:picLocks noChangeAspect="1"/>
                    </pic:cNvPicPr>
                  </pic:nvPicPr>
                  <pic:blipFill>
                    <a:blip r:embed="rId81"/>
                    <a:stretch>
                      <a:fillRect/>
                    </a:stretch>
                  </pic:blipFill>
                  <pic:spPr>
                    <a:xfrm>
                      <a:off x="0" y="0"/>
                      <a:ext cx="7207250" cy="5095875"/>
                    </a:xfrm>
                    <a:prstGeom prst="rect">
                      <a:avLst/>
                    </a:prstGeom>
                  </pic:spPr>
                </pic:pic>
              </a:graphicData>
            </a:graphic>
          </wp:inline>
        </w:drawing>
      </w:r>
      <w:r>
        <w:rPr>
          <w:rFonts w:hint="eastAsia" w:ascii="Times New Roman" w:hAnsi="Times New Roman" w:eastAsia="宋体" w:cs="宋体"/>
          <w:b/>
          <w:bCs/>
          <w:caps w:val="0"/>
          <w:highlight w:val="none"/>
          <w:lang w:val="en-US" w:eastAsia="zh-CN"/>
        </w:rPr>
        <w:drawing>
          <wp:inline distT="0" distB="0" distL="114300" distR="114300">
            <wp:extent cx="7207250" cy="5095875"/>
            <wp:effectExtent l="0" t="0" r="12700" b="9525"/>
            <wp:docPr id="56" name="图片 56" descr="鸡西市燎盛新材料科技有限公司锅炉改造_2025年10月13日090548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鸡西市燎盛新材料科技有限公司锅炉改造_2025年10月13日090548_分析报告_09"/>
                    <pic:cNvPicPr>
                      <a:picLocks noChangeAspect="1"/>
                    </pic:cNvPicPr>
                  </pic:nvPicPr>
                  <pic:blipFill>
                    <a:blip r:embed="rId82"/>
                    <a:stretch>
                      <a:fillRect/>
                    </a:stretch>
                  </pic:blipFill>
                  <pic:spPr>
                    <a:xfrm>
                      <a:off x="0" y="0"/>
                      <a:ext cx="7207250" cy="5095875"/>
                    </a:xfrm>
                    <a:prstGeom prst="rect">
                      <a:avLst/>
                    </a:prstGeom>
                  </pic:spPr>
                </pic:pic>
              </a:graphicData>
            </a:graphic>
          </wp:inline>
        </w:drawing>
      </w:r>
      <w:r>
        <w:rPr>
          <w:rFonts w:hint="eastAsia" w:ascii="Times New Roman" w:hAnsi="Times New Roman" w:eastAsia="宋体" w:cs="宋体"/>
          <w:b/>
          <w:bCs/>
          <w:caps w:val="0"/>
          <w:highlight w:val="none"/>
          <w:lang w:val="en-US" w:eastAsia="zh-CN"/>
        </w:rPr>
        <w:drawing>
          <wp:inline distT="0" distB="0" distL="114300" distR="114300">
            <wp:extent cx="7207250" cy="5095875"/>
            <wp:effectExtent l="0" t="0" r="12700" b="9525"/>
            <wp:docPr id="57" name="图片 57" descr="鸡西市燎盛新材料科技有限公司锅炉改造_2025年10月13日090548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鸡西市燎盛新材料科技有限公司锅炉改造_2025年10月13日090548_分析报告_10"/>
                    <pic:cNvPicPr>
                      <a:picLocks noChangeAspect="1"/>
                    </pic:cNvPicPr>
                  </pic:nvPicPr>
                  <pic:blipFill>
                    <a:blip r:embed="rId83"/>
                    <a:stretch>
                      <a:fillRect/>
                    </a:stretch>
                  </pic:blipFill>
                  <pic:spPr>
                    <a:xfrm>
                      <a:off x="0" y="0"/>
                      <a:ext cx="7207250" cy="5095875"/>
                    </a:xfrm>
                    <a:prstGeom prst="rect">
                      <a:avLst/>
                    </a:prstGeom>
                  </pic:spPr>
                </pic:pic>
              </a:graphicData>
            </a:graphic>
          </wp:inline>
        </w:drawing>
      </w:r>
    </w:p>
    <w:p w14:paraId="1F18D8EF">
      <w:pPr>
        <w:pStyle w:val="42"/>
        <w:jc w:val="center"/>
        <w:outlineLvl w:val="9"/>
        <w:rPr>
          <w:rFonts w:hint="default" w:ascii="Times New Roman" w:hAnsi="Times New Roman" w:eastAsia="宋体" w:cs="宋体"/>
          <w:b/>
          <w:bCs/>
          <w:caps w:val="0"/>
          <w:highlight w:val="none"/>
          <w:lang w:val="en-US" w:eastAsia="zh-CN"/>
        </w:rPr>
        <w:sectPr>
          <w:pgSz w:w="16838" w:h="11906" w:orient="landscape"/>
          <w:pgMar w:top="1519"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7B27BA26">
      <w:pPr>
        <w:pStyle w:val="42"/>
        <w:jc w:val="both"/>
        <w:outlineLvl w:val="0"/>
        <w:rPr>
          <w:rFonts w:hint="eastAsia" w:ascii="Times New Roman" w:hAnsi="Times New Roman" w:eastAsia="宋体" w:cs="宋体"/>
          <w:b/>
          <w:bCs/>
          <w:caps w:val="0"/>
          <w:highlight w:val="none"/>
          <w:lang w:val="en-US" w:eastAsia="zh-CN"/>
        </w:rPr>
      </w:pPr>
      <w:bookmarkStart w:id="37" w:name="_Toc19754"/>
      <w:r>
        <w:rPr>
          <w:rFonts w:hint="eastAsia" w:ascii="Times New Roman" w:hAnsi="Times New Roman" w:eastAsia="宋体" w:cs="宋体"/>
          <w:b/>
          <w:bCs/>
          <w:caps w:val="0"/>
          <w:highlight w:val="none"/>
          <w:lang w:val="en-US" w:eastAsia="zh-CN"/>
        </w:rPr>
        <w:t>附件8 厂界噪声监测报告</w:t>
      </w:r>
      <w:bookmarkEnd w:id="37"/>
    </w:p>
    <w:p w14:paraId="3EC7570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宋体"/>
          <w:caps w:val="0"/>
          <w:highlight w:val="none"/>
          <w:lang w:val="en-US" w:eastAsia="zh-CN"/>
        </w:rPr>
        <w:sectPr>
          <w:pgSz w:w="11906" w:h="16838"/>
          <w:pgMar w:top="1440" w:right="1800" w:bottom="1440" w:left="1519"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ascii="Times New Roman" w:hAnsi="Times New Roman" w:eastAsia="宋体" w:cs="宋体"/>
          <w:caps w:val="0"/>
          <w:highlight w:val="none"/>
        </w:rPr>
        <w:drawing>
          <wp:inline distT="0" distB="0" distL="114300" distR="114300">
            <wp:extent cx="5433060" cy="7682865"/>
            <wp:effectExtent l="0" t="0" r="15240" b="13335"/>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84"/>
                    <a:stretch>
                      <a:fillRect/>
                    </a:stretch>
                  </pic:blipFill>
                  <pic:spPr>
                    <a:xfrm>
                      <a:off x="0" y="0"/>
                      <a:ext cx="5433060" cy="7682865"/>
                    </a:xfrm>
                    <a:prstGeom prst="rect">
                      <a:avLst/>
                    </a:prstGeom>
                    <a:noFill/>
                    <a:ln>
                      <a:noFill/>
                    </a:ln>
                  </pic:spPr>
                </pic:pic>
              </a:graphicData>
            </a:graphic>
          </wp:inline>
        </w:drawing>
      </w:r>
      <w:r>
        <w:rPr>
          <w:rFonts w:ascii="Times New Roman" w:hAnsi="Times New Roman" w:eastAsia="宋体" w:cs="宋体"/>
          <w:caps w:val="0"/>
          <w:highlight w:val="none"/>
        </w:rPr>
        <w:drawing>
          <wp:inline distT="0" distB="0" distL="114300" distR="114300">
            <wp:extent cx="5433060" cy="7682865"/>
            <wp:effectExtent l="0" t="0" r="15240" b="13335"/>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85"/>
                    <a:stretch>
                      <a:fillRect/>
                    </a:stretch>
                  </pic:blipFill>
                  <pic:spPr>
                    <a:xfrm>
                      <a:off x="0" y="0"/>
                      <a:ext cx="5433060" cy="7682865"/>
                    </a:xfrm>
                    <a:prstGeom prst="rect">
                      <a:avLst/>
                    </a:prstGeom>
                    <a:noFill/>
                    <a:ln>
                      <a:noFill/>
                    </a:ln>
                  </pic:spPr>
                </pic:pic>
              </a:graphicData>
            </a:graphic>
          </wp:inline>
        </w:drawing>
      </w:r>
      <w:r>
        <w:rPr>
          <w:rFonts w:ascii="Times New Roman" w:hAnsi="Times New Roman" w:eastAsia="宋体" w:cs="宋体"/>
          <w:caps w:val="0"/>
          <w:highlight w:val="none"/>
        </w:rPr>
        <w:drawing>
          <wp:inline distT="0" distB="0" distL="114300" distR="114300">
            <wp:extent cx="5433060" cy="7682865"/>
            <wp:effectExtent l="0" t="0" r="15240" b="13335"/>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86"/>
                    <a:stretch>
                      <a:fillRect/>
                    </a:stretch>
                  </pic:blipFill>
                  <pic:spPr>
                    <a:xfrm>
                      <a:off x="0" y="0"/>
                      <a:ext cx="5433060" cy="7682865"/>
                    </a:xfrm>
                    <a:prstGeom prst="rect">
                      <a:avLst/>
                    </a:prstGeom>
                    <a:noFill/>
                    <a:ln>
                      <a:noFill/>
                    </a:ln>
                  </pic:spPr>
                </pic:pic>
              </a:graphicData>
            </a:graphic>
          </wp:inline>
        </w:drawing>
      </w:r>
      <w:r>
        <w:rPr>
          <w:rFonts w:ascii="Times New Roman" w:hAnsi="Times New Roman" w:eastAsia="宋体" w:cs="宋体"/>
          <w:caps w:val="0"/>
          <w:highlight w:val="none"/>
        </w:rPr>
        <w:drawing>
          <wp:inline distT="0" distB="0" distL="114300" distR="114300">
            <wp:extent cx="5433060" cy="7682865"/>
            <wp:effectExtent l="0" t="0" r="15240" b="13335"/>
            <wp:docPr id="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
                    <pic:cNvPicPr>
                      <a:picLocks noChangeAspect="1"/>
                    </pic:cNvPicPr>
                  </pic:nvPicPr>
                  <pic:blipFill>
                    <a:blip r:embed="rId87"/>
                    <a:stretch>
                      <a:fillRect/>
                    </a:stretch>
                  </pic:blipFill>
                  <pic:spPr>
                    <a:xfrm>
                      <a:off x="0" y="0"/>
                      <a:ext cx="5433060" cy="7682865"/>
                    </a:xfrm>
                    <a:prstGeom prst="rect">
                      <a:avLst/>
                    </a:prstGeom>
                    <a:noFill/>
                    <a:ln>
                      <a:noFill/>
                    </a:ln>
                  </pic:spPr>
                </pic:pic>
              </a:graphicData>
            </a:graphic>
          </wp:inline>
        </w:drawing>
      </w:r>
    </w:p>
    <w:p w14:paraId="6EF739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outlineLvl w:val="0"/>
        <w:rPr>
          <w:rFonts w:hint="eastAsia" w:ascii="Times New Roman" w:hAnsi="Times New Roman" w:cs="宋体"/>
          <w:b/>
          <w:bCs w:val="0"/>
          <w:caps w:val="0"/>
          <w:highlight w:val="none"/>
          <w:lang w:val="en-US" w:eastAsia="zh-CN"/>
        </w:rPr>
      </w:pPr>
      <w:bookmarkStart w:id="38" w:name="_Toc20479"/>
      <w:r>
        <w:rPr>
          <w:rFonts w:hint="eastAsia" w:ascii="Times New Roman" w:hAnsi="Times New Roman" w:cs="宋体"/>
          <w:b/>
          <w:bCs w:val="0"/>
          <w:caps w:val="0"/>
          <w:highlight w:val="none"/>
          <w:lang w:val="en-US" w:eastAsia="zh-CN"/>
        </w:rPr>
        <w:t>附件9 集中供热缴费证明</w:t>
      </w:r>
      <w:bookmarkEnd w:id="38"/>
    </w:p>
    <w:p w14:paraId="2FE1813F">
      <w:pPr>
        <w:pStyle w:val="19"/>
        <w:ind w:left="0" w:leftChars="0" w:firstLine="0" w:firstLineChars="0"/>
        <w:rPr>
          <w:rFonts w:hint="default"/>
          <w:highlight w:val="none"/>
          <w:lang w:val="en-US" w:eastAsia="zh-CN"/>
        </w:rPr>
      </w:pPr>
      <w:r>
        <w:rPr>
          <w:rFonts w:hint="default"/>
          <w:highlight w:val="none"/>
          <w:lang w:val="en-US" w:eastAsia="zh-CN"/>
        </w:rPr>
        <w:drawing>
          <wp:inline distT="0" distB="0" distL="114300" distR="114300">
            <wp:extent cx="5449570" cy="3632835"/>
            <wp:effectExtent l="0" t="0" r="17780" b="5715"/>
            <wp:docPr id="34" name="图片 34" descr="2024.12.28供暖费发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24.12.28供暖费发票_01"/>
                    <pic:cNvPicPr>
                      <a:picLocks noChangeAspect="1"/>
                    </pic:cNvPicPr>
                  </pic:nvPicPr>
                  <pic:blipFill>
                    <a:blip r:embed="rId88"/>
                    <a:stretch>
                      <a:fillRect/>
                    </a:stretch>
                  </pic:blipFill>
                  <pic:spPr>
                    <a:xfrm>
                      <a:off x="0" y="0"/>
                      <a:ext cx="5449570" cy="3632835"/>
                    </a:xfrm>
                    <a:prstGeom prst="rect">
                      <a:avLst/>
                    </a:prstGeom>
                  </pic:spPr>
                </pic:pic>
              </a:graphicData>
            </a:graphic>
          </wp:inline>
        </w:drawing>
      </w:r>
      <w:bookmarkStart w:id="39" w:name="_GoBack"/>
      <w:bookmarkEnd w:id="39"/>
    </w:p>
    <w:sectPr>
      <w:pgSz w:w="11906" w:h="16838"/>
      <w:pgMar w:top="1440" w:right="1800" w:bottom="1440" w:left="1519" w:header="851" w:footer="992" w:gutter="0"/>
      <w:pgBorders w:offsetFrom="page">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宋体">
    <w:panose1 w:val="02010600040101010101"/>
    <w:charset w:val="86"/>
    <w:family w:val="auto"/>
    <w:pitch w:val="default"/>
    <w:sig w:usb0="00000287" w:usb1="080F0000" w:usb2="00000000" w:usb3="00000000" w:csb0="0004009F" w:csb1="DFD70000"/>
  </w:font>
  <w:font w:name="Wingdings 2">
    <w:panose1 w:val="05020102010507070707"/>
    <w:charset w:val="02"/>
    <w:family w:val="auto"/>
    <w:pitch w:val="default"/>
    <w:sig w:usb0="00000000" w:usb1="00000000" w:usb2="00000000" w:usb3="00000000" w:csb0="80000000" w:csb1="00000000"/>
    <w:embedRegular r:id="rId1" w:fontKey="{D4385C3E-EA16-4533-BE3A-0CA2F8268988}"/>
  </w:font>
  <w:font w:name="楷体">
    <w:panose1 w:val="02010609060101010101"/>
    <w:charset w:val="86"/>
    <w:family w:val="auto"/>
    <w:pitch w:val="default"/>
    <w:sig w:usb0="800002BF" w:usb1="38CF7CFA" w:usb2="00000016" w:usb3="00000000" w:csb0="00040001" w:csb1="00000000"/>
    <w:embedRegular r:id="rId2" w:fontKey="{5E7D97FE-CB92-45D3-95F2-D53B29F61DEA}"/>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8F7100">
    <w:pPr>
      <w:pStyle w:val="21"/>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81CBCB">
    <w:pPr>
      <w:pStyle w:val="21"/>
      <w:ind w:firstLine="360"/>
      <w:rPr>
        <w:rStyle w:val="39"/>
      </w:rPr>
    </w:pPr>
    <w:r>
      <w:fldChar w:fldCharType="begin"/>
    </w:r>
    <w:r>
      <w:rPr>
        <w:rStyle w:val="39"/>
      </w:rPr>
      <w:instrText xml:space="preserve">PAGE  </w:instrText>
    </w:r>
    <w:r>
      <w:fldChar w:fldCharType="end"/>
    </w:r>
  </w:p>
  <w:p w14:paraId="44CC7399">
    <w:pPr>
      <w:pStyle w:val="2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941E20">
    <w:pPr>
      <w:pStyle w:val="2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8F6529">
    <w:pPr>
      <w:pStyle w:val="21"/>
      <w:ind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77B2C5B">
                          <w:pPr>
                            <w:pStyle w:val="21"/>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AxnsAu3gEAAL8DAAAOAAAAAAAA&#10;AAEAIAAAAB4BAABkcnMvZTJvRG9jLnhtbFBLBQYAAAAABgAGAFkBAABuBQAAAAA=&#10;">
              <v:fill on="f" focussize="0,0"/>
              <v:stroke on="f"/>
              <v:imagedata o:title=""/>
              <o:lock v:ext="edit" aspectratio="f"/>
              <v:textbox inset="0mm,0mm,0mm,0mm" style="mso-fit-shape-to-text:t;">
                <w:txbxContent>
                  <w:p w14:paraId="777B2C5B">
                    <w:pPr>
                      <w:pStyle w:val="2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BCA188">
    <w:pPr>
      <w:pStyle w:val="21"/>
      <w:ind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ABC14B4">
                          <w:pPr>
                            <w:pStyle w:val="21"/>
                          </w:pPr>
                          <w:r>
                            <w:fldChar w:fldCharType="begin"/>
                          </w:r>
                          <w:r>
                            <w:instrText xml:space="preserve"> PAGE  \* MERGEFORMAT </w:instrText>
                          </w:r>
                          <w:r>
                            <w:fldChar w:fldCharType="separate"/>
                          </w:r>
                          <w:r>
                            <w:t>68</w:t>
                          </w:r>
                          <w:r>
                            <w:fldChar w:fldCharType="end"/>
                          </w:r>
                        </w:p>
                      </w:txbxContent>
                    </wps:txbx>
                    <wps:bodyPr vert="horz" wrap="none" lIns="0" tIns="0" rIns="0" bIns="0" anchor="t" anchorCtr="0" upright="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BEQoPP3gEAAL8DAAAOAAAAAAAA&#10;AAEAIAAAAB4BAABkcnMvZTJvRG9jLnhtbFBLBQYAAAAABgAGAFkBAABuBQAAAAA=&#10;">
              <v:fill on="f" focussize="0,0"/>
              <v:stroke on="f"/>
              <v:imagedata o:title=""/>
              <o:lock v:ext="edit" aspectratio="f"/>
              <v:textbox inset="0mm,0mm,0mm,0mm" style="mso-fit-shape-to-text:t;">
                <w:txbxContent>
                  <w:p w14:paraId="6ABC14B4">
                    <w:pPr>
                      <w:pStyle w:val="21"/>
                    </w:pPr>
                    <w:r>
                      <w:fldChar w:fldCharType="begin"/>
                    </w:r>
                    <w:r>
                      <w:instrText xml:space="preserve"> PAGE  \* MERGEFORMAT </w:instrText>
                    </w:r>
                    <w:r>
                      <w:fldChar w:fldCharType="separate"/>
                    </w:r>
                    <w:r>
                      <w:t>68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CA5515">
    <w:pPr>
      <w:pStyle w:val="21"/>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4FD983C">
                          <w:pPr>
                            <w:pStyle w:val="21"/>
                          </w:pPr>
                          <w:r>
                            <w:fldChar w:fldCharType="begin"/>
                          </w:r>
                          <w:r>
                            <w:instrText xml:space="preserve"> PAGE  \* MERGEFORMAT </w:instrText>
                          </w:r>
                          <w:r>
                            <w:fldChar w:fldCharType="separate"/>
                          </w:r>
                          <w:r>
                            <w:t>70</w:t>
                          </w:r>
                          <w:r>
                            <w:fldChar w:fldCharType="end"/>
                          </w:r>
                        </w:p>
                      </w:txbxContent>
                    </wps:txbx>
                    <wps:bodyPr vert="horz" wrap="none" lIns="0" tIns="0" rIns="0" bIns="0" anchor="t" anchorCtr="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C1pUC83gEAAL8DAAAOAAAAAAAA&#10;AAEAIAAAAB4BAABkcnMvZTJvRG9jLnhtbFBLBQYAAAAABgAGAFkBAABuBQAAAAA=&#10;">
              <v:fill on="f" focussize="0,0"/>
              <v:stroke on="f"/>
              <v:imagedata o:title=""/>
              <o:lock v:ext="edit" aspectratio="f"/>
              <v:textbox inset="0mm,0mm,0mm,0mm" style="mso-fit-shape-to-text:t;">
                <w:txbxContent>
                  <w:p w14:paraId="54FD983C">
                    <w:pPr>
                      <w:pStyle w:val="21"/>
                    </w:pPr>
                    <w:r>
                      <w:fldChar w:fldCharType="begin"/>
                    </w:r>
                    <w:r>
                      <w:instrText xml:space="preserve"> PAGE  \* MERGEFORMAT </w:instrText>
                    </w:r>
                    <w:r>
                      <w:fldChar w:fldCharType="separate"/>
                    </w:r>
                    <w:r>
                      <w:t>70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075297">
    <w:pPr>
      <w:pStyle w:val="21"/>
      <w:ind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5B405D5">
                          <w:pPr>
                            <w:pStyle w:val="21"/>
                          </w:pPr>
                          <w:r>
                            <w:fldChar w:fldCharType="begin"/>
                          </w:r>
                          <w:r>
                            <w:instrText xml:space="preserve"> PAGE  \* MERGEFORMAT </w:instrText>
                          </w:r>
                          <w:r>
                            <w:fldChar w:fldCharType="separate"/>
                          </w:r>
                          <w:r>
                            <w:t>97</w:t>
                          </w:r>
                          <w:r>
                            <w:fldChar w:fldCharType="end"/>
                          </w:r>
                        </w:p>
                      </w:txbxContent>
                    </wps:txbx>
                    <wps:bodyPr vert="horz" wrap="none" lIns="0" tIns="0" rIns="0" bIns="0" anchor="t" anchorCtr="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wHkDXd8BAAC/AwAADgAAAAAA&#10;AAABACAAAAAeAQAAZHJzL2Uyb0RvYy54bWxQSwUGAAAAAAYABgBZAQAAbwUAAAAA&#10;">
              <v:fill on="f" focussize="0,0"/>
              <v:stroke on="f"/>
              <v:imagedata o:title=""/>
              <o:lock v:ext="edit" aspectratio="f"/>
              <v:textbox inset="0mm,0mm,0mm,0mm" style="mso-fit-shape-to-text:t;">
                <w:txbxContent>
                  <w:p w14:paraId="05B405D5">
                    <w:pPr>
                      <w:pStyle w:val="21"/>
                    </w:pPr>
                    <w:r>
                      <w:fldChar w:fldCharType="begin"/>
                    </w:r>
                    <w:r>
                      <w:instrText xml:space="preserve"> PAGE  \* MERGEFORMAT </w:instrText>
                    </w:r>
                    <w:r>
                      <w:fldChar w:fldCharType="separate"/>
                    </w:r>
                    <w:r>
                      <w:t>97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592DD9">
    <w:pPr>
      <w:ind w:firstLine="0" w:firstLineChars="0"/>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763A92">
    <w:pPr>
      <w:pStyle w:val="2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81B96F">
    <w:pPr>
      <w:pStyle w:val="2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E96FBC"/>
    <w:multiLevelType w:val="singleLevel"/>
    <w:tmpl w:val="88E96FBC"/>
    <w:lvl w:ilvl="0" w:tentative="0">
      <w:start w:val="1"/>
      <w:numFmt w:val="decimal"/>
      <w:suff w:val="nothing"/>
      <w:lvlText w:val="（%1）"/>
      <w:lvlJc w:val="left"/>
    </w:lvl>
  </w:abstractNum>
  <w:abstractNum w:abstractNumId="1">
    <w:nsid w:val="91C22DE7"/>
    <w:multiLevelType w:val="singleLevel"/>
    <w:tmpl w:val="91C22DE7"/>
    <w:lvl w:ilvl="0" w:tentative="0">
      <w:start w:val="1"/>
      <w:numFmt w:val="chineseCounting"/>
      <w:suff w:val="nothing"/>
      <w:lvlText w:val="（%1）"/>
      <w:lvlJc w:val="left"/>
      <w:rPr>
        <w:rFonts w:hint="eastAsia"/>
      </w:rPr>
    </w:lvl>
  </w:abstractNum>
  <w:abstractNum w:abstractNumId="2">
    <w:nsid w:val="B072D955"/>
    <w:multiLevelType w:val="singleLevel"/>
    <w:tmpl w:val="B072D955"/>
    <w:lvl w:ilvl="0" w:tentative="0">
      <w:start w:val="1"/>
      <w:numFmt w:val="bullet"/>
      <w:pStyle w:val="12"/>
      <w:lvlText w:val=""/>
      <w:lvlJc w:val="left"/>
      <w:pPr>
        <w:tabs>
          <w:tab w:val="left" w:pos="360"/>
        </w:tabs>
        <w:ind w:left="360" w:hanging="360"/>
      </w:pPr>
      <w:rPr>
        <w:rFonts w:hint="default" w:ascii="Wingdings" w:hAnsi="Wingdings"/>
      </w:rPr>
    </w:lvl>
  </w:abstractNum>
  <w:abstractNum w:abstractNumId="3">
    <w:nsid w:val="0E5D6063"/>
    <w:multiLevelType w:val="singleLevel"/>
    <w:tmpl w:val="0E5D6063"/>
    <w:lvl w:ilvl="0" w:tentative="0">
      <w:start w:val="1"/>
      <w:numFmt w:val="bullet"/>
      <w:pStyle w:val="6"/>
      <w:lvlText w:val=""/>
      <w:lvlJc w:val="left"/>
      <w:pPr>
        <w:tabs>
          <w:tab w:val="left" w:pos="2040"/>
        </w:tabs>
        <w:ind w:left="2040" w:hanging="360"/>
      </w:pPr>
      <w:rPr>
        <w:rFonts w:hint="default" w:ascii="Wingdings" w:hAnsi="Wingdings"/>
      </w:rPr>
    </w:lvl>
  </w:abstractNum>
  <w:abstractNum w:abstractNumId="4">
    <w:nsid w:val="29562F9D"/>
    <w:multiLevelType w:val="singleLevel"/>
    <w:tmpl w:val="29562F9D"/>
    <w:lvl w:ilvl="0" w:tentative="0">
      <w:start w:val="2"/>
      <w:numFmt w:val="decimal"/>
      <w:suff w:val="nothing"/>
      <w:lvlText w:val="%1）"/>
      <w:lvlJc w:val="left"/>
    </w:lvl>
  </w:abstractNum>
  <w:abstractNum w:abstractNumId="5">
    <w:nsid w:val="2FBC2613"/>
    <w:multiLevelType w:val="singleLevel"/>
    <w:tmpl w:val="2FBC2613"/>
    <w:lvl w:ilvl="0" w:tentative="0">
      <w:start w:val="1"/>
      <w:numFmt w:val="decimal"/>
      <w:suff w:val="nothing"/>
      <w:lvlText w:val="%1、"/>
      <w:lvlJc w:val="left"/>
    </w:lvl>
  </w:abstractNum>
  <w:abstractNum w:abstractNumId="6">
    <w:nsid w:val="4164DA95"/>
    <w:multiLevelType w:val="singleLevel"/>
    <w:tmpl w:val="4164DA95"/>
    <w:lvl w:ilvl="0" w:tentative="0">
      <w:start w:val="1"/>
      <w:numFmt w:val="decimal"/>
      <w:suff w:val="nothing"/>
      <w:lvlText w:val="（%1）"/>
      <w:lvlJc w:val="left"/>
    </w:lvl>
  </w:abstractNum>
  <w:abstractNum w:abstractNumId="7">
    <w:nsid w:val="524A8F44"/>
    <w:multiLevelType w:val="singleLevel"/>
    <w:tmpl w:val="524A8F44"/>
    <w:lvl w:ilvl="0" w:tentative="0">
      <w:start w:val="1"/>
      <w:numFmt w:val="decimal"/>
      <w:suff w:val="nothing"/>
      <w:lvlText w:val="%1、"/>
      <w:lvlJc w:val="left"/>
    </w:lvl>
  </w:abstractNum>
  <w:num w:numId="1">
    <w:abstractNumId w:val="3"/>
  </w:num>
  <w:num w:numId="2">
    <w:abstractNumId w:val="2"/>
  </w:num>
  <w:num w:numId="3">
    <w:abstractNumId w:val="0"/>
  </w:num>
  <w:num w:numId="4">
    <w:abstractNumId w:val="1"/>
  </w:num>
  <w:num w:numId="5">
    <w:abstractNumId w:val="5"/>
  </w:num>
  <w:num w:numId="6">
    <w:abstractNumId w:val="7"/>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k4ZWY3ZWE4YmMyOTYyYmJiOTI1OGY4YzdiZTE2YmUifQ=="/>
  </w:docVars>
  <w:rsids>
    <w:rsidRoot w:val="00172A27"/>
    <w:rsid w:val="00003236"/>
    <w:rsid w:val="000060B3"/>
    <w:rsid w:val="000172C8"/>
    <w:rsid w:val="00024231"/>
    <w:rsid w:val="00037513"/>
    <w:rsid w:val="0004364B"/>
    <w:rsid w:val="00061B1F"/>
    <w:rsid w:val="00072469"/>
    <w:rsid w:val="000733C4"/>
    <w:rsid w:val="00073ECC"/>
    <w:rsid w:val="00074783"/>
    <w:rsid w:val="0008070B"/>
    <w:rsid w:val="000810AC"/>
    <w:rsid w:val="00081A02"/>
    <w:rsid w:val="00082231"/>
    <w:rsid w:val="00086069"/>
    <w:rsid w:val="00087265"/>
    <w:rsid w:val="00091AC5"/>
    <w:rsid w:val="00092D38"/>
    <w:rsid w:val="0009352F"/>
    <w:rsid w:val="0009377B"/>
    <w:rsid w:val="000A20C9"/>
    <w:rsid w:val="000A29AF"/>
    <w:rsid w:val="000B058F"/>
    <w:rsid w:val="000B4467"/>
    <w:rsid w:val="000B4DB9"/>
    <w:rsid w:val="000C09AC"/>
    <w:rsid w:val="000C2B13"/>
    <w:rsid w:val="000C767F"/>
    <w:rsid w:val="000D5A44"/>
    <w:rsid w:val="000E3ED2"/>
    <w:rsid w:val="00114652"/>
    <w:rsid w:val="001203E5"/>
    <w:rsid w:val="00124346"/>
    <w:rsid w:val="00130C7C"/>
    <w:rsid w:val="00131F42"/>
    <w:rsid w:val="001357F1"/>
    <w:rsid w:val="00140FA8"/>
    <w:rsid w:val="00142FEB"/>
    <w:rsid w:val="00143A2D"/>
    <w:rsid w:val="00145A41"/>
    <w:rsid w:val="00151675"/>
    <w:rsid w:val="0015218A"/>
    <w:rsid w:val="00157435"/>
    <w:rsid w:val="00171932"/>
    <w:rsid w:val="00173291"/>
    <w:rsid w:val="00173B58"/>
    <w:rsid w:val="0017504D"/>
    <w:rsid w:val="0017671A"/>
    <w:rsid w:val="00177422"/>
    <w:rsid w:val="00184590"/>
    <w:rsid w:val="001870D1"/>
    <w:rsid w:val="0018781E"/>
    <w:rsid w:val="0019262D"/>
    <w:rsid w:val="00194BAF"/>
    <w:rsid w:val="001A01DE"/>
    <w:rsid w:val="001A190C"/>
    <w:rsid w:val="001A1B35"/>
    <w:rsid w:val="001A48A2"/>
    <w:rsid w:val="001A6F61"/>
    <w:rsid w:val="001B72B8"/>
    <w:rsid w:val="001C2B13"/>
    <w:rsid w:val="001C69B3"/>
    <w:rsid w:val="001D4F2B"/>
    <w:rsid w:val="001D5595"/>
    <w:rsid w:val="001D6C8B"/>
    <w:rsid w:val="001D7874"/>
    <w:rsid w:val="001D7F22"/>
    <w:rsid w:val="001F0F17"/>
    <w:rsid w:val="001F3347"/>
    <w:rsid w:val="001F69E4"/>
    <w:rsid w:val="001F6BD8"/>
    <w:rsid w:val="00201541"/>
    <w:rsid w:val="00205F31"/>
    <w:rsid w:val="002125B4"/>
    <w:rsid w:val="00213BDC"/>
    <w:rsid w:val="002155B8"/>
    <w:rsid w:val="00215FA6"/>
    <w:rsid w:val="00224839"/>
    <w:rsid w:val="002249B2"/>
    <w:rsid w:val="00226574"/>
    <w:rsid w:val="002278EC"/>
    <w:rsid w:val="00227F55"/>
    <w:rsid w:val="00230302"/>
    <w:rsid w:val="0023280E"/>
    <w:rsid w:val="002377D1"/>
    <w:rsid w:val="002467D9"/>
    <w:rsid w:val="002506BC"/>
    <w:rsid w:val="00253944"/>
    <w:rsid w:val="00254345"/>
    <w:rsid w:val="002602ED"/>
    <w:rsid w:val="00264557"/>
    <w:rsid w:val="002701D9"/>
    <w:rsid w:val="00276D2E"/>
    <w:rsid w:val="002805AB"/>
    <w:rsid w:val="00280650"/>
    <w:rsid w:val="00284204"/>
    <w:rsid w:val="00285373"/>
    <w:rsid w:val="00287B81"/>
    <w:rsid w:val="00291773"/>
    <w:rsid w:val="0029456E"/>
    <w:rsid w:val="002A168C"/>
    <w:rsid w:val="002A3DC7"/>
    <w:rsid w:val="002B49E2"/>
    <w:rsid w:val="002B4BB2"/>
    <w:rsid w:val="002B7B00"/>
    <w:rsid w:val="002B7C44"/>
    <w:rsid w:val="002C2B17"/>
    <w:rsid w:val="002C5701"/>
    <w:rsid w:val="002C5F61"/>
    <w:rsid w:val="002D0A5A"/>
    <w:rsid w:val="002D3DD0"/>
    <w:rsid w:val="002E1F3A"/>
    <w:rsid w:val="002E298A"/>
    <w:rsid w:val="00301978"/>
    <w:rsid w:val="0030332C"/>
    <w:rsid w:val="003051C2"/>
    <w:rsid w:val="003075BC"/>
    <w:rsid w:val="00310544"/>
    <w:rsid w:val="003120BC"/>
    <w:rsid w:val="00312296"/>
    <w:rsid w:val="00314F0E"/>
    <w:rsid w:val="00321D8E"/>
    <w:rsid w:val="00325928"/>
    <w:rsid w:val="00332863"/>
    <w:rsid w:val="0033350C"/>
    <w:rsid w:val="0033684D"/>
    <w:rsid w:val="00337B42"/>
    <w:rsid w:val="00341B42"/>
    <w:rsid w:val="0034348F"/>
    <w:rsid w:val="003507DF"/>
    <w:rsid w:val="00355E08"/>
    <w:rsid w:val="00356125"/>
    <w:rsid w:val="00356653"/>
    <w:rsid w:val="0035743F"/>
    <w:rsid w:val="00357BE2"/>
    <w:rsid w:val="0036170C"/>
    <w:rsid w:val="00366E0F"/>
    <w:rsid w:val="00373320"/>
    <w:rsid w:val="00373BF2"/>
    <w:rsid w:val="00377D06"/>
    <w:rsid w:val="00381A72"/>
    <w:rsid w:val="00384676"/>
    <w:rsid w:val="00387770"/>
    <w:rsid w:val="00390857"/>
    <w:rsid w:val="003936DF"/>
    <w:rsid w:val="003A4BF3"/>
    <w:rsid w:val="003A5379"/>
    <w:rsid w:val="003B3F2A"/>
    <w:rsid w:val="003B419F"/>
    <w:rsid w:val="003B420D"/>
    <w:rsid w:val="003C6C16"/>
    <w:rsid w:val="003D3E8A"/>
    <w:rsid w:val="003D794D"/>
    <w:rsid w:val="003E3058"/>
    <w:rsid w:val="003E76A9"/>
    <w:rsid w:val="003F0809"/>
    <w:rsid w:val="003F64B8"/>
    <w:rsid w:val="003F6A8C"/>
    <w:rsid w:val="003F755C"/>
    <w:rsid w:val="0040210F"/>
    <w:rsid w:val="00406F01"/>
    <w:rsid w:val="00410556"/>
    <w:rsid w:val="00414D62"/>
    <w:rsid w:val="00416D50"/>
    <w:rsid w:val="00416FD5"/>
    <w:rsid w:val="00417772"/>
    <w:rsid w:val="00420E6A"/>
    <w:rsid w:val="00425A9E"/>
    <w:rsid w:val="00426D6B"/>
    <w:rsid w:val="00431E6C"/>
    <w:rsid w:val="00433CE7"/>
    <w:rsid w:val="00435B20"/>
    <w:rsid w:val="00452738"/>
    <w:rsid w:val="00456091"/>
    <w:rsid w:val="0046290C"/>
    <w:rsid w:val="00466321"/>
    <w:rsid w:val="0047037F"/>
    <w:rsid w:val="00484B9B"/>
    <w:rsid w:val="00485120"/>
    <w:rsid w:val="004855F6"/>
    <w:rsid w:val="0048661E"/>
    <w:rsid w:val="00494670"/>
    <w:rsid w:val="004A3823"/>
    <w:rsid w:val="004B17F3"/>
    <w:rsid w:val="004D38E9"/>
    <w:rsid w:val="004D521E"/>
    <w:rsid w:val="004E6946"/>
    <w:rsid w:val="004F1AD8"/>
    <w:rsid w:val="00500573"/>
    <w:rsid w:val="005034E2"/>
    <w:rsid w:val="005039CB"/>
    <w:rsid w:val="0050558F"/>
    <w:rsid w:val="00505EC0"/>
    <w:rsid w:val="0050615C"/>
    <w:rsid w:val="00506286"/>
    <w:rsid w:val="00510813"/>
    <w:rsid w:val="00511990"/>
    <w:rsid w:val="00511DE0"/>
    <w:rsid w:val="00514870"/>
    <w:rsid w:val="00514B9B"/>
    <w:rsid w:val="00517F02"/>
    <w:rsid w:val="00524303"/>
    <w:rsid w:val="005258A2"/>
    <w:rsid w:val="005276CB"/>
    <w:rsid w:val="00531AF3"/>
    <w:rsid w:val="005401AE"/>
    <w:rsid w:val="00542403"/>
    <w:rsid w:val="00542E07"/>
    <w:rsid w:val="00545424"/>
    <w:rsid w:val="0055447B"/>
    <w:rsid w:val="00554A7B"/>
    <w:rsid w:val="0055572C"/>
    <w:rsid w:val="00556975"/>
    <w:rsid w:val="0056106A"/>
    <w:rsid w:val="005720AE"/>
    <w:rsid w:val="00581B8B"/>
    <w:rsid w:val="0059172E"/>
    <w:rsid w:val="00594D77"/>
    <w:rsid w:val="005969E4"/>
    <w:rsid w:val="005A06B7"/>
    <w:rsid w:val="005A0AAB"/>
    <w:rsid w:val="005A1759"/>
    <w:rsid w:val="005A1FDE"/>
    <w:rsid w:val="005A68A7"/>
    <w:rsid w:val="005B5534"/>
    <w:rsid w:val="005D36AB"/>
    <w:rsid w:val="005D64C9"/>
    <w:rsid w:val="00601B03"/>
    <w:rsid w:val="00617CC3"/>
    <w:rsid w:val="0063331D"/>
    <w:rsid w:val="006352CC"/>
    <w:rsid w:val="006377A6"/>
    <w:rsid w:val="00637A3D"/>
    <w:rsid w:val="006411EF"/>
    <w:rsid w:val="00650B23"/>
    <w:rsid w:val="00660580"/>
    <w:rsid w:val="0066143E"/>
    <w:rsid w:val="006664CF"/>
    <w:rsid w:val="006748B8"/>
    <w:rsid w:val="00677229"/>
    <w:rsid w:val="006775C3"/>
    <w:rsid w:val="00677E69"/>
    <w:rsid w:val="006823FE"/>
    <w:rsid w:val="00687021"/>
    <w:rsid w:val="00691E36"/>
    <w:rsid w:val="0069290A"/>
    <w:rsid w:val="00693724"/>
    <w:rsid w:val="0069775A"/>
    <w:rsid w:val="00697813"/>
    <w:rsid w:val="006A1276"/>
    <w:rsid w:val="006A1809"/>
    <w:rsid w:val="006A22B1"/>
    <w:rsid w:val="006A3EE8"/>
    <w:rsid w:val="006A72BF"/>
    <w:rsid w:val="006B03F2"/>
    <w:rsid w:val="006B37DC"/>
    <w:rsid w:val="006B4F68"/>
    <w:rsid w:val="006B529E"/>
    <w:rsid w:val="006B531E"/>
    <w:rsid w:val="006C0592"/>
    <w:rsid w:val="006C272E"/>
    <w:rsid w:val="006C38F9"/>
    <w:rsid w:val="006C5479"/>
    <w:rsid w:val="006D13B5"/>
    <w:rsid w:val="006D2458"/>
    <w:rsid w:val="006D474F"/>
    <w:rsid w:val="006E12FF"/>
    <w:rsid w:val="006E152D"/>
    <w:rsid w:val="006E37C7"/>
    <w:rsid w:val="006E607E"/>
    <w:rsid w:val="00706C5D"/>
    <w:rsid w:val="007115DC"/>
    <w:rsid w:val="00717AD2"/>
    <w:rsid w:val="00717FC5"/>
    <w:rsid w:val="00732922"/>
    <w:rsid w:val="007465BA"/>
    <w:rsid w:val="00750CCB"/>
    <w:rsid w:val="0075162E"/>
    <w:rsid w:val="00754034"/>
    <w:rsid w:val="00756556"/>
    <w:rsid w:val="007618C4"/>
    <w:rsid w:val="0076736C"/>
    <w:rsid w:val="00767980"/>
    <w:rsid w:val="00770B19"/>
    <w:rsid w:val="0077463F"/>
    <w:rsid w:val="007768C8"/>
    <w:rsid w:val="00781C1D"/>
    <w:rsid w:val="007836EA"/>
    <w:rsid w:val="00784CDA"/>
    <w:rsid w:val="00786642"/>
    <w:rsid w:val="007906C4"/>
    <w:rsid w:val="007940EA"/>
    <w:rsid w:val="007967E8"/>
    <w:rsid w:val="007A2170"/>
    <w:rsid w:val="007A22BF"/>
    <w:rsid w:val="007A3323"/>
    <w:rsid w:val="007B72B8"/>
    <w:rsid w:val="007B7A58"/>
    <w:rsid w:val="007C21B5"/>
    <w:rsid w:val="007C48C5"/>
    <w:rsid w:val="007E4BD2"/>
    <w:rsid w:val="0080071F"/>
    <w:rsid w:val="00801393"/>
    <w:rsid w:val="00802F88"/>
    <w:rsid w:val="0080571F"/>
    <w:rsid w:val="00810CF9"/>
    <w:rsid w:val="00810D80"/>
    <w:rsid w:val="008120B6"/>
    <w:rsid w:val="0081293E"/>
    <w:rsid w:val="00813266"/>
    <w:rsid w:val="00815465"/>
    <w:rsid w:val="00817E9A"/>
    <w:rsid w:val="008232FC"/>
    <w:rsid w:val="008306BD"/>
    <w:rsid w:val="00830B9B"/>
    <w:rsid w:val="00831666"/>
    <w:rsid w:val="00831A80"/>
    <w:rsid w:val="00831ECF"/>
    <w:rsid w:val="00833743"/>
    <w:rsid w:val="008340A4"/>
    <w:rsid w:val="00834AF3"/>
    <w:rsid w:val="00857B54"/>
    <w:rsid w:val="0087135F"/>
    <w:rsid w:val="00872D94"/>
    <w:rsid w:val="00880364"/>
    <w:rsid w:val="00887896"/>
    <w:rsid w:val="00891592"/>
    <w:rsid w:val="00891E9E"/>
    <w:rsid w:val="008A2F68"/>
    <w:rsid w:val="008A48EA"/>
    <w:rsid w:val="008A5AFB"/>
    <w:rsid w:val="008B4FA6"/>
    <w:rsid w:val="008B5282"/>
    <w:rsid w:val="008B7C17"/>
    <w:rsid w:val="008C2D01"/>
    <w:rsid w:val="008C40E6"/>
    <w:rsid w:val="008C6F40"/>
    <w:rsid w:val="008D0F7A"/>
    <w:rsid w:val="008D5D1F"/>
    <w:rsid w:val="008D68E4"/>
    <w:rsid w:val="008D734E"/>
    <w:rsid w:val="008E0506"/>
    <w:rsid w:val="008E0CFF"/>
    <w:rsid w:val="008E5D6B"/>
    <w:rsid w:val="008E76F0"/>
    <w:rsid w:val="008E7BB9"/>
    <w:rsid w:val="008F15FE"/>
    <w:rsid w:val="008F2D29"/>
    <w:rsid w:val="008F4057"/>
    <w:rsid w:val="008F5187"/>
    <w:rsid w:val="008F60D8"/>
    <w:rsid w:val="00901125"/>
    <w:rsid w:val="0090239C"/>
    <w:rsid w:val="00902727"/>
    <w:rsid w:val="0090312B"/>
    <w:rsid w:val="0091736D"/>
    <w:rsid w:val="00923AC9"/>
    <w:rsid w:val="00924AE9"/>
    <w:rsid w:val="0093037A"/>
    <w:rsid w:val="0094154D"/>
    <w:rsid w:val="0094714D"/>
    <w:rsid w:val="0095155F"/>
    <w:rsid w:val="00954429"/>
    <w:rsid w:val="009563CE"/>
    <w:rsid w:val="009664C0"/>
    <w:rsid w:val="00976328"/>
    <w:rsid w:val="0097680D"/>
    <w:rsid w:val="00982438"/>
    <w:rsid w:val="0098404C"/>
    <w:rsid w:val="00985283"/>
    <w:rsid w:val="00995992"/>
    <w:rsid w:val="0099684F"/>
    <w:rsid w:val="009A03E5"/>
    <w:rsid w:val="009A0F3B"/>
    <w:rsid w:val="009A0F81"/>
    <w:rsid w:val="009A1BB4"/>
    <w:rsid w:val="009A2628"/>
    <w:rsid w:val="009A3200"/>
    <w:rsid w:val="009B0897"/>
    <w:rsid w:val="009B7BD9"/>
    <w:rsid w:val="009B7EB2"/>
    <w:rsid w:val="009C7DD5"/>
    <w:rsid w:val="009E227D"/>
    <w:rsid w:val="009E5019"/>
    <w:rsid w:val="009F004C"/>
    <w:rsid w:val="009F7B58"/>
    <w:rsid w:val="00A04F1B"/>
    <w:rsid w:val="00A0501B"/>
    <w:rsid w:val="00A14947"/>
    <w:rsid w:val="00A16E83"/>
    <w:rsid w:val="00A22653"/>
    <w:rsid w:val="00A226FF"/>
    <w:rsid w:val="00A32A83"/>
    <w:rsid w:val="00A368DB"/>
    <w:rsid w:val="00A423AA"/>
    <w:rsid w:val="00A44AD2"/>
    <w:rsid w:val="00A53EC6"/>
    <w:rsid w:val="00A55C0F"/>
    <w:rsid w:val="00A60DC3"/>
    <w:rsid w:val="00A70155"/>
    <w:rsid w:val="00A8713F"/>
    <w:rsid w:val="00A90BA1"/>
    <w:rsid w:val="00A91E36"/>
    <w:rsid w:val="00A97A9A"/>
    <w:rsid w:val="00AA0671"/>
    <w:rsid w:val="00AA2531"/>
    <w:rsid w:val="00AB1E09"/>
    <w:rsid w:val="00AB2FA2"/>
    <w:rsid w:val="00AB5330"/>
    <w:rsid w:val="00AB7747"/>
    <w:rsid w:val="00AB7ED2"/>
    <w:rsid w:val="00AC14CE"/>
    <w:rsid w:val="00AC2A56"/>
    <w:rsid w:val="00AD055E"/>
    <w:rsid w:val="00AD47A7"/>
    <w:rsid w:val="00AD7501"/>
    <w:rsid w:val="00AF0CBF"/>
    <w:rsid w:val="00AF257F"/>
    <w:rsid w:val="00AF33CF"/>
    <w:rsid w:val="00AF4D50"/>
    <w:rsid w:val="00AF6179"/>
    <w:rsid w:val="00B00C56"/>
    <w:rsid w:val="00B035C1"/>
    <w:rsid w:val="00B11A0D"/>
    <w:rsid w:val="00B1295A"/>
    <w:rsid w:val="00B207F5"/>
    <w:rsid w:val="00B20A45"/>
    <w:rsid w:val="00B22C5C"/>
    <w:rsid w:val="00B24F30"/>
    <w:rsid w:val="00B257F9"/>
    <w:rsid w:val="00B31ABF"/>
    <w:rsid w:val="00B33BE3"/>
    <w:rsid w:val="00B3768C"/>
    <w:rsid w:val="00B51FDD"/>
    <w:rsid w:val="00B53B5D"/>
    <w:rsid w:val="00B6055E"/>
    <w:rsid w:val="00B62014"/>
    <w:rsid w:val="00B6317D"/>
    <w:rsid w:val="00B7577B"/>
    <w:rsid w:val="00B7723F"/>
    <w:rsid w:val="00B80534"/>
    <w:rsid w:val="00B81ABC"/>
    <w:rsid w:val="00B8433C"/>
    <w:rsid w:val="00B87491"/>
    <w:rsid w:val="00B91D44"/>
    <w:rsid w:val="00BA29E9"/>
    <w:rsid w:val="00BA7142"/>
    <w:rsid w:val="00BB237C"/>
    <w:rsid w:val="00BB41A3"/>
    <w:rsid w:val="00BC32DC"/>
    <w:rsid w:val="00BC35B6"/>
    <w:rsid w:val="00BC65DD"/>
    <w:rsid w:val="00BD1B51"/>
    <w:rsid w:val="00BD3CE6"/>
    <w:rsid w:val="00BD4596"/>
    <w:rsid w:val="00BE1405"/>
    <w:rsid w:val="00BE312D"/>
    <w:rsid w:val="00BF1C20"/>
    <w:rsid w:val="00BF4FB1"/>
    <w:rsid w:val="00C067DE"/>
    <w:rsid w:val="00C10578"/>
    <w:rsid w:val="00C135BC"/>
    <w:rsid w:val="00C15C95"/>
    <w:rsid w:val="00C2170B"/>
    <w:rsid w:val="00C21C33"/>
    <w:rsid w:val="00C23EB9"/>
    <w:rsid w:val="00C2596A"/>
    <w:rsid w:val="00C27537"/>
    <w:rsid w:val="00C328FE"/>
    <w:rsid w:val="00C33507"/>
    <w:rsid w:val="00C42026"/>
    <w:rsid w:val="00C4409D"/>
    <w:rsid w:val="00C44E72"/>
    <w:rsid w:val="00C45A06"/>
    <w:rsid w:val="00C47E5B"/>
    <w:rsid w:val="00C60D54"/>
    <w:rsid w:val="00C61E4B"/>
    <w:rsid w:val="00C64BFF"/>
    <w:rsid w:val="00C704E9"/>
    <w:rsid w:val="00C737BD"/>
    <w:rsid w:val="00C74A45"/>
    <w:rsid w:val="00C763C9"/>
    <w:rsid w:val="00C80057"/>
    <w:rsid w:val="00C80869"/>
    <w:rsid w:val="00C82232"/>
    <w:rsid w:val="00C82913"/>
    <w:rsid w:val="00C859A3"/>
    <w:rsid w:val="00C865A1"/>
    <w:rsid w:val="00C972B1"/>
    <w:rsid w:val="00C976F1"/>
    <w:rsid w:val="00CA2CCE"/>
    <w:rsid w:val="00CA43FD"/>
    <w:rsid w:val="00CA7EF8"/>
    <w:rsid w:val="00CB0014"/>
    <w:rsid w:val="00CB78BF"/>
    <w:rsid w:val="00CC42B3"/>
    <w:rsid w:val="00CC489B"/>
    <w:rsid w:val="00CD2BCD"/>
    <w:rsid w:val="00CD3A4C"/>
    <w:rsid w:val="00CD6220"/>
    <w:rsid w:val="00CE01A3"/>
    <w:rsid w:val="00CE10E9"/>
    <w:rsid w:val="00CE2910"/>
    <w:rsid w:val="00CE47EA"/>
    <w:rsid w:val="00CE5393"/>
    <w:rsid w:val="00CF36BE"/>
    <w:rsid w:val="00CF4CC9"/>
    <w:rsid w:val="00CF6000"/>
    <w:rsid w:val="00D003F3"/>
    <w:rsid w:val="00D00C42"/>
    <w:rsid w:val="00D02137"/>
    <w:rsid w:val="00D02955"/>
    <w:rsid w:val="00D0364F"/>
    <w:rsid w:val="00D06834"/>
    <w:rsid w:val="00D1660E"/>
    <w:rsid w:val="00D2588B"/>
    <w:rsid w:val="00D308ED"/>
    <w:rsid w:val="00D339BE"/>
    <w:rsid w:val="00D36D86"/>
    <w:rsid w:val="00D428AA"/>
    <w:rsid w:val="00D50A34"/>
    <w:rsid w:val="00D53EFA"/>
    <w:rsid w:val="00D553E8"/>
    <w:rsid w:val="00D6190C"/>
    <w:rsid w:val="00D76F9B"/>
    <w:rsid w:val="00D94A7C"/>
    <w:rsid w:val="00D95896"/>
    <w:rsid w:val="00DB2983"/>
    <w:rsid w:val="00DC1257"/>
    <w:rsid w:val="00DC3DC0"/>
    <w:rsid w:val="00DC5B2B"/>
    <w:rsid w:val="00DC5BFC"/>
    <w:rsid w:val="00DD318D"/>
    <w:rsid w:val="00DF252B"/>
    <w:rsid w:val="00DF2E12"/>
    <w:rsid w:val="00DF2F17"/>
    <w:rsid w:val="00DF514A"/>
    <w:rsid w:val="00DF6690"/>
    <w:rsid w:val="00DF6804"/>
    <w:rsid w:val="00E0358D"/>
    <w:rsid w:val="00E04323"/>
    <w:rsid w:val="00E04675"/>
    <w:rsid w:val="00E070A2"/>
    <w:rsid w:val="00E26243"/>
    <w:rsid w:val="00E2656A"/>
    <w:rsid w:val="00E32413"/>
    <w:rsid w:val="00E32DC9"/>
    <w:rsid w:val="00E412D0"/>
    <w:rsid w:val="00E50736"/>
    <w:rsid w:val="00E5141D"/>
    <w:rsid w:val="00E56322"/>
    <w:rsid w:val="00E60982"/>
    <w:rsid w:val="00E60D4F"/>
    <w:rsid w:val="00E61030"/>
    <w:rsid w:val="00E62C62"/>
    <w:rsid w:val="00E63036"/>
    <w:rsid w:val="00E654C1"/>
    <w:rsid w:val="00E65D97"/>
    <w:rsid w:val="00E72A5A"/>
    <w:rsid w:val="00E73354"/>
    <w:rsid w:val="00E778E0"/>
    <w:rsid w:val="00E9242D"/>
    <w:rsid w:val="00E9605A"/>
    <w:rsid w:val="00EA148C"/>
    <w:rsid w:val="00EB0B25"/>
    <w:rsid w:val="00EB0B8D"/>
    <w:rsid w:val="00EB5255"/>
    <w:rsid w:val="00EB5C47"/>
    <w:rsid w:val="00EC5499"/>
    <w:rsid w:val="00ED0639"/>
    <w:rsid w:val="00ED7304"/>
    <w:rsid w:val="00EF4755"/>
    <w:rsid w:val="00EF4F2C"/>
    <w:rsid w:val="00EF7135"/>
    <w:rsid w:val="00F004BA"/>
    <w:rsid w:val="00F027DB"/>
    <w:rsid w:val="00F112EC"/>
    <w:rsid w:val="00F14A7A"/>
    <w:rsid w:val="00F22985"/>
    <w:rsid w:val="00F3383E"/>
    <w:rsid w:val="00F378B6"/>
    <w:rsid w:val="00F465A7"/>
    <w:rsid w:val="00F50B7C"/>
    <w:rsid w:val="00F550E6"/>
    <w:rsid w:val="00F6343B"/>
    <w:rsid w:val="00F64C8E"/>
    <w:rsid w:val="00F74345"/>
    <w:rsid w:val="00F74EF3"/>
    <w:rsid w:val="00F76060"/>
    <w:rsid w:val="00F77E22"/>
    <w:rsid w:val="00F80A0A"/>
    <w:rsid w:val="00F82B19"/>
    <w:rsid w:val="00F9212D"/>
    <w:rsid w:val="00F965DA"/>
    <w:rsid w:val="00FA406A"/>
    <w:rsid w:val="00FB503A"/>
    <w:rsid w:val="00FB516C"/>
    <w:rsid w:val="00FD0236"/>
    <w:rsid w:val="00FD18F4"/>
    <w:rsid w:val="00FD2B06"/>
    <w:rsid w:val="00FD3915"/>
    <w:rsid w:val="00FD54DB"/>
    <w:rsid w:val="00FD619F"/>
    <w:rsid w:val="00FE3760"/>
    <w:rsid w:val="00FF095A"/>
    <w:rsid w:val="00FF68A3"/>
    <w:rsid w:val="010867C9"/>
    <w:rsid w:val="01290F7E"/>
    <w:rsid w:val="01300A27"/>
    <w:rsid w:val="01460A76"/>
    <w:rsid w:val="015D1E09"/>
    <w:rsid w:val="01663F90"/>
    <w:rsid w:val="01666B5F"/>
    <w:rsid w:val="017C59C2"/>
    <w:rsid w:val="01A9280E"/>
    <w:rsid w:val="01B90ABA"/>
    <w:rsid w:val="01CF21B0"/>
    <w:rsid w:val="02064377"/>
    <w:rsid w:val="021A2D94"/>
    <w:rsid w:val="023B2CD8"/>
    <w:rsid w:val="02484628"/>
    <w:rsid w:val="0256613B"/>
    <w:rsid w:val="02697903"/>
    <w:rsid w:val="02995CE7"/>
    <w:rsid w:val="02C22A03"/>
    <w:rsid w:val="02C9569D"/>
    <w:rsid w:val="02E24107"/>
    <w:rsid w:val="02E30E4D"/>
    <w:rsid w:val="02F96569"/>
    <w:rsid w:val="036850EB"/>
    <w:rsid w:val="0372606E"/>
    <w:rsid w:val="037635EA"/>
    <w:rsid w:val="038F7C57"/>
    <w:rsid w:val="03A339C4"/>
    <w:rsid w:val="03B46A51"/>
    <w:rsid w:val="03BF588C"/>
    <w:rsid w:val="03C017BA"/>
    <w:rsid w:val="03C62363"/>
    <w:rsid w:val="03D07BE1"/>
    <w:rsid w:val="03D1684D"/>
    <w:rsid w:val="03EA7B21"/>
    <w:rsid w:val="03EF5C41"/>
    <w:rsid w:val="04184EE5"/>
    <w:rsid w:val="04285347"/>
    <w:rsid w:val="04454295"/>
    <w:rsid w:val="04741F14"/>
    <w:rsid w:val="047857D5"/>
    <w:rsid w:val="047A4A97"/>
    <w:rsid w:val="04840C27"/>
    <w:rsid w:val="04D203B0"/>
    <w:rsid w:val="04D45D6E"/>
    <w:rsid w:val="04E13EAC"/>
    <w:rsid w:val="04F263D9"/>
    <w:rsid w:val="050302DF"/>
    <w:rsid w:val="05150D0F"/>
    <w:rsid w:val="051C20D1"/>
    <w:rsid w:val="05485182"/>
    <w:rsid w:val="05512885"/>
    <w:rsid w:val="05595109"/>
    <w:rsid w:val="056015BF"/>
    <w:rsid w:val="05840D12"/>
    <w:rsid w:val="05AC2477"/>
    <w:rsid w:val="05D73596"/>
    <w:rsid w:val="05DD7067"/>
    <w:rsid w:val="05F83EAE"/>
    <w:rsid w:val="05FC5C90"/>
    <w:rsid w:val="06091BEB"/>
    <w:rsid w:val="060F5438"/>
    <w:rsid w:val="06371BBC"/>
    <w:rsid w:val="063D54C5"/>
    <w:rsid w:val="063E7D85"/>
    <w:rsid w:val="064236D8"/>
    <w:rsid w:val="06471ACB"/>
    <w:rsid w:val="064A1761"/>
    <w:rsid w:val="064D0B68"/>
    <w:rsid w:val="065C17E8"/>
    <w:rsid w:val="06636A09"/>
    <w:rsid w:val="06654933"/>
    <w:rsid w:val="06654AE8"/>
    <w:rsid w:val="068E2C6F"/>
    <w:rsid w:val="069E1A1A"/>
    <w:rsid w:val="06B0795D"/>
    <w:rsid w:val="06BE122C"/>
    <w:rsid w:val="06D87510"/>
    <w:rsid w:val="06DA1C43"/>
    <w:rsid w:val="06F80762"/>
    <w:rsid w:val="070237CC"/>
    <w:rsid w:val="07091CFF"/>
    <w:rsid w:val="07246295"/>
    <w:rsid w:val="07260B5E"/>
    <w:rsid w:val="07293586"/>
    <w:rsid w:val="07295285"/>
    <w:rsid w:val="073F33A8"/>
    <w:rsid w:val="074A6A54"/>
    <w:rsid w:val="07636392"/>
    <w:rsid w:val="076A6353"/>
    <w:rsid w:val="076A7D33"/>
    <w:rsid w:val="0776775C"/>
    <w:rsid w:val="07770C56"/>
    <w:rsid w:val="077D1FAE"/>
    <w:rsid w:val="07BB4CCE"/>
    <w:rsid w:val="07E31BCF"/>
    <w:rsid w:val="07EB4288"/>
    <w:rsid w:val="07F8081C"/>
    <w:rsid w:val="08030D99"/>
    <w:rsid w:val="080B2D42"/>
    <w:rsid w:val="081748E2"/>
    <w:rsid w:val="081E77D0"/>
    <w:rsid w:val="08402FB0"/>
    <w:rsid w:val="08687912"/>
    <w:rsid w:val="0891753F"/>
    <w:rsid w:val="089E4348"/>
    <w:rsid w:val="08AA054E"/>
    <w:rsid w:val="08AB74B7"/>
    <w:rsid w:val="08AC711D"/>
    <w:rsid w:val="08B9275D"/>
    <w:rsid w:val="08BC0E66"/>
    <w:rsid w:val="08F82719"/>
    <w:rsid w:val="08F96C82"/>
    <w:rsid w:val="09074462"/>
    <w:rsid w:val="09105520"/>
    <w:rsid w:val="092217DD"/>
    <w:rsid w:val="093A7294"/>
    <w:rsid w:val="0950494E"/>
    <w:rsid w:val="0966210B"/>
    <w:rsid w:val="097A1C21"/>
    <w:rsid w:val="098344E6"/>
    <w:rsid w:val="09877907"/>
    <w:rsid w:val="099C655D"/>
    <w:rsid w:val="09A22484"/>
    <w:rsid w:val="09B74ED1"/>
    <w:rsid w:val="09BF2DCD"/>
    <w:rsid w:val="09EC589B"/>
    <w:rsid w:val="0A006EBA"/>
    <w:rsid w:val="0A0540CC"/>
    <w:rsid w:val="0A0D5232"/>
    <w:rsid w:val="0A163DFC"/>
    <w:rsid w:val="0A177C1C"/>
    <w:rsid w:val="0A1C1B29"/>
    <w:rsid w:val="0A201028"/>
    <w:rsid w:val="0A263993"/>
    <w:rsid w:val="0A2D3AC2"/>
    <w:rsid w:val="0A616ED6"/>
    <w:rsid w:val="0A760186"/>
    <w:rsid w:val="0A9B4E2F"/>
    <w:rsid w:val="0AA755DF"/>
    <w:rsid w:val="0ABC03A3"/>
    <w:rsid w:val="0AC920E4"/>
    <w:rsid w:val="0ACA117A"/>
    <w:rsid w:val="0ACC1910"/>
    <w:rsid w:val="0B120D44"/>
    <w:rsid w:val="0B340EA0"/>
    <w:rsid w:val="0B4932C3"/>
    <w:rsid w:val="0BB208A1"/>
    <w:rsid w:val="0BC746FC"/>
    <w:rsid w:val="0BD27BF6"/>
    <w:rsid w:val="0BEF322F"/>
    <w:rsid w:val="0BFA2D2F"/>
    <w:rsid w:val="0BFC18E3"/>
    <w:rsid w:val="0C05226C"/>
    <w:rsid w:val="0C1E2E71"/>
    <w:rsid w:val="0C2F1E06"/>
    <w:rsid w:val="0C3B3C7D"/>
    <w:rsid w:val="0C8A10DB"/>
    <w:rsid w:val="0C8E4631"/>
    <w:rsid w:val="0C9D239C"/>
    <w:rsid w:val="0CA52046"/>
    <w:rsid w:val="0CAB2EAE"/>
    <w:rsid w:val="0CD52054"/>
    <w:rsid w:val="0CE7033B"/>
    <w:rsid w:val="0CEA6E40"/>
    <w:rsid w:val="0CF11954"/>
    <w:rsid w:val="0D1362C7"/>
    <w:rsid w:val="0D1403B2"/>
    <w:rsid w:val="0D227EC5"/>
    <w:rsid w:val="0D2968DE"/>
    <w:rsid w:val="0D3F1EEE"/>
    <w:rsid w:val="0D621C7D"/>
    <w:rsid w:val="0D6413A9"/>
    <w:rsid w:val="0D6E6802"/>
    <w:rsid w:val="0D720D1E"/>
    <w:rsid w:val="0D84706A"/>
    <w:rsid w:val="0D90737D"/>
    <w:rsid w:val="0DB86830"/>
    <w:rsid w:val="0DBF37F9"/>
    <w:rsid w:val="0DC1607F"/>
    <w:rsid w:val="0DE87E11"/>
    <w:rsid w:val="0E021F8C"/>
    <w:rsid w:val="0E3D0C6E"/>
    <w:rsid w:val="0E600EA9"/>
    <w:rsid w:val="0E73034D"/>
    <w:rsid w:val="0E7856C7"/>
    <w:rsid w:val="0E790BB9"/>
    <w:rsid w:val="0E9B4BB8"/>
    <w:rsid w:val="0EAF7D9C"/>
    <w:rsid w:val="0EB65B0F"/>
    <w:rsid w:val="0EBF25A6"/>
    <w:rsid w:val="0ED767DC"/>
    <w:rsid w:val="0EDB687C"/>
    <w:rsid w:val="0EE96B98"/>
    <w:rsid w:val="0EF10B71"/>
    <w:rsid w:val="0F094B6F"/>
    <w:rsid w:val="0F13775A"/>
    <w:rsid w:val="0F157EEA"/>
    <w:rsid w:val="0F457629"/>
    <w:rsid w:val="0F5F45FE"/>
    <w:rsid w:val="0F61376D"/>
    <w:rsid w:val="0F7E381E"/>
    <w:rsid w:val="0F887398"/>
    <w:rsid w:val="0F8F47A8"/>
    <w:rsid w:val="0F983509"/>
    <w:rsid w:val="0F9A112B"/>
    <w:rsid w:val="0F9D3180"/>
    <w:rsid w:val="0FBE309A"/>
    <w:rsid w:val="0FEA0047"/>
    <w:rsid w:val="100844F6"/>
    <w:rsid w:val="104C2584"/>
    <w:rsid w:val="106D2F64"/>
    <w:rsid w:val="108C5181"/>
    <w:rsid w:val="10B63710"/>
    <w:rsid w:val="10BD72C7"/>
    <w:rsid w:val="10E26C0C"/>
    <w:rsid w:val="10F10820"/>
    <w:rsid w:val="10F46657"/>
    <w:rsid w:val="110D5972"/>
    <w:rsid w:val="111C2F7A"/>
    <w:rsid w:val="11452919"/>
    <w:rsid w:val="116377AF"/>
    <w:rsid w:val="11665CA1"/>
    <w:rsid w:val="11C216D3"/>
    <w:rsid w:val="11D16950"/>
    <w:rsid w:val="11DD2D71"/>
    <w:rsid w:val="12256CAD"/>
    <w:rsid w:val="12324BD9"/>
    <w:rsid w:val="12403AD9"/>
    <w:rsid w:val="12451BBE"/>
    <w:rsid w:val="127D54E3"/>
    <w:rsid w:val="1282472F"/>
    <w:rsid w:val="12A60C13"/>
    <w:rsid w:val="12A91AF5"/>
    <w:rsid w:val="12AF5DFA"/>
    <w:rsid w:val="12B01B9D"/>
    <w:rsid w:val="12B71E90"/>
    <w:rsid w:val="12B72DB9"/>
    <w:rsid w:val="12C62CAF"/>
    <w:rsid w:val="12E10B94"/>
    <w:rsid w:val="12EE1C08"/>
    <w:rsid w:val="1304431A"/>
    <w:rsid w:val="130703CD"/>
    <w:rsid w:val="131840B3"/>
    <w:rsid w:val="1332117A"/>
    <w:rsid w:val="133E04D1"/>
    <w:rsid w:val="136141C9"/>
    <w:rsid w:val="13951726"/>
    <w:rsid w:val="139A11EF"/>
    <w:rsid w:val="13A762FD"/>
    <w:rsid w:val="13A9243A"/>
    <w:rsid w:val="13B970D0"/>
    <w:rsid w:val="13EC7FAA"/>
    <w:rsid w:val="13F5371E"/>
    <w:rsid w:val="13FE664D"/>
    <w:rsid w:val="140E0234"/>
    <w:rsid w:val="14373358"/>
    <w:rsid w:val="14396509"/>
    <w:rsid w:val="143D47C6"/>
    <w:rsid w:val="14434DD1"/>
    <w:rsid w:val="145A657E"/>
    <w:rsid w:val="14624318"/>
    <w:rsid w:val="14707A2A"/>
    <w:rsid w:val="147748BC"/>
    <w:rsid w:val="14911BDD"/>
    <w:rsid w:val="14BB63E8"/>
    <w:rsid w:val="14DD2C3C"/>
    <w:rsid w:val="14E44334"/>
    <w:rsid w:val="14FB22E6"/>
    <w:rsid w:val="151503C0"/>
    <w:rsid w:val="15226E2D"/>
    <w:rsid w:val="152504A9"/>
    <w:rsid w:val="15377A08"/>
    <w:rsid w:val="154E4847"/>
    <w:rsid w:val="159C4635"/>
    <w:rsid w:val="15AE5C33"/>
    <w:rsid w:val="15B047E5"/>
    <w:rsid w:val="15C56000"/>
    <w:rsid w:val="15E76D5B"/>
    <w:rsid w:val="15EF6763"/>
    <w:rsid w:val="16087E1D"/>
    <w:rsid w:val="16095CCF"/>
    <w:rsid w:val="16114D0A"/>
    <w:rsid w:val="1636219B"/>
    <w:rsid w:val="164B5DE4"/>
    <w:rsid w:val="16531CFB"/>
    <w:rsid w:val="166C7CB8"/>
    <w:rsid w:val="16B125E7"/>
    <w:rsid w:val="16B72D18"/>
    <w:rsid w:val="16D20E9B"/>
    <w:rsid w:val="170C7B07"/>
    <w:rsid w:val="170D3A96"/>
    <w:rsid w:val="17126B58"/>
    <w:rsid w:val="172A58BB"/>
    <w:rsid w:val="17546E02"/>
    <w:rsid w:val="17577289"/>
    <w:rsid w:val="175C3F04"/>
    <w:rsid w:val="175F366B"/>
    <w:rsid w:val="17613B7A"/>
    <w:rsid w:val="176E0C2C"/>
    <w:rsid w:val="17701D14"/>
    <w:rsid w:val="17721666"/>
    <w:rsid w:val="17735226"/>
    <w:rsid w:val="17AF0AEF"/>
    <w:rsid w:val="17C517A1"/>
    <w:rsid w:val="17C97F2D"/>
    <w:rsid w:val="18097B5B"/>
    <w:rsid w:val="180B401D"/>
    <w:rsid w:val="183236C3"/>
    <w:rsid w:val="183408CF"/>
    <w:rsid w:val="1847640E"/>
    <w:rsid w:val="184C62A3"/>
    <w:rsid w:val="187D3872"/>
    <w:rsid w:val="189F624C"/>
    <w:rsid w:val="18A47A76"/>
    <w:rsid w:val="18DF21CB"/>
    <w:rsid w:val="19153B64"/>
    <w:rsid w:val="1945116D"/>
    <w:rsid w:val="19645810"/>
    <w:rsid w:val="19904874"/>
    <w:rsid w:val="199827F0"/>
    <w:rsid w:val="199B7F69"/>
    <w:rsid w:val="19D37B4F"/>
    <w:rsid w:val="19E05946"/>
    <w:rsid w:val="19E1017F"/>
    <w:rsid w:val="19E22226"/>
    <w:rsid w:val="19F91BA8"/>
    <w:rsid w:val="1A1175D1"/>
    <w:rsid w:val="1A182C08"/>
    <w:rsid w:val="1A1C66C0"/>
    <w:rsid w:val="1A331172"/>
    <w:rsid w:val="1A42393B"/>
    <w:rsid w:val="1A5747A5"/>
    <w:rsid w:val="1A5C2AF6"/>
    <w:rsid w:val="1A5D6F31"/>
    <w:rsid w:val="1A630246"/>
    <w:rsid w:val="1A7235DA"/>
    <w:rsid w:val="1A92760D"/>
    <w:rsid w:val="1A96543D"/>
    <w:rsid w:val="1A976860"/>
    <w:rsid w:val="1A9E49DD"/>
    <w:rsid w:val="1AA7213B"/>
    <w:rsid w:val="1AAD45DE"/>
    <w:rsid w:val="1ABA5EC8"/>
    <w:rsid w:val="1ACD3016"/>
    <w:rsid w:val="1AE325CA"/>
    <w:rsid w:val="1AF7627B"/>
    <w:rsid w:val="1AF831C3"/>
    <w:rsid w:val="1B03508B"/>
    <w:rsid w:val="1B046F80"/>
    <w:rsid w:val="1B0A1B40"/>
    <w:rsid w:val="1B1531FC"/>
    <w:rsid w:val="1B1905E9"/>
    <w:rsid w:val="1B24437D"/>
    <w:rsid w:val="1B3267B5"/>
    <w:rsid w:val="1B40161D"/>
    <w:rsid w:val="1B441859"/>
    <w:rsid w:val="1B522B5E"/>
    <w:rsid w:val="1B6225F9"/>
    <w:rsid w:val="1B6606B1"/>
    <w:rsid w:val="1B8555F2"/>
    <w:rsid w:val="1B8E2EC4"/>
    <w:rsid w:val="1B992192"/>
    <w:rsid w:val="1BA736D7"/>
    <w:rsid w:val="1BAD1694"/>
    <w:rsid w:val="1BD55245"/>
    <w:rsid w:val="1BE717DE"/>
    <w:rsid w:val="1BE92F0C"/>
    <w:rsid w:val="1BF0073E"/>
    <w:rsid w:val="1C031B3A"/>
    <w:rsid w:val="1C205197"/>
    <w:rsid w:val="1C32334A"/>
    <w:rsid w:val="1C376A21"/>
    <w:rsid w:val="1C4E5A1B"/>
    <w:rsid w:val="1C5B7FB2"/>
    <w:rsid w:val="1C5C7FF6"/>
    <w:rsid w:val="1C5E7925"/>
    <w:rsid w:val="1C634FB9"/>
    <w:rsid w:val="1C817528"/>
    <w:rsid w:val="1C916D0A"/>
    <w:rsid w:val="1CD6444F"/>
    <w:rsid w:val="1CDB47CB"/>
    <w:rsid w:val="1CFD070F"/>
    <w:rsid w:val="1D2C60E4"/>
    <w:rsid w:val="1D543DA2"/>
    <w:rsid w:val="1D5F6196"/>
    <w:rsid w:val="1D607642"/>
    <w:rsid w:val="1D6132A5"/>
    <w:rsid w:val="1D635BEB"/>
    <w:rsid w:val="1D88007A"/>
    <w:rsid w:val="1D8D6D69"/>
    <w:rsid w:val="1D8E56D5"/>
    <w:rsid w:val="1D911E78"/>
    <w:rsid w:val="1D95202E"/>
    <w:rsid w:val="1DAD68B4"/>
    <w:rsid w:val="1DBD340A"/>
    <w:rsid w:val="1DF2075D"/>
    <w:rsid w:val="1DFB5D40"/>
    <w:rsid w:val="1E0E6763"/>
    <w:rsid w:val="1E1570DE"/>
    <w:rsid w:val="1E226714"/>
    <w:rsid w:val="1E2908E7"/>
    <w:rsid w:val="1E324005"/>
    <w:rsid w:val="1E606046"/>
    <w:rsid w:val="1E641501"/>
    <w:rsid w:val="1E6B2BF2"/>
    <w:rsid w:val="1E7A43DA"/>
    <w:rsid w:val="1EA82FFE"/>
    <w:rsid w:val="1EB012FF"/>
    <w:rsid w:val="1EBE708C"/>
    <w:rsid w:val="1EC82BCC"/>
    <w:rsid w:val="1ED645E7"/>
    <w:rsid w:val="1EEB326A"/>
    <w:rsid w:val="1F0423D1"/>
    <w:rsid w:val="1F11463E"/>
    <w:rsid w:val="1F1F0C24"/>
    <w:rsid w:val="1F2127CD"/>
    <w:rsid w:val="1F300909"/>
    <w:rsid w:val="1F3B1FFC"/>
    <w:rsid w:val="1F4324C7"/>
    <w:rsid w:val="1F451771"/>
    <w:rsid w:val="1F83778A"/>
    <w:rsid w:val="1F84517F"/>
    <w:rsid w:val="1F861D90"/>
    <w:rsid w:val="1F9C5DA0"/>
    <w:rsid w:val="1FA152CA"/>
    <w:rsid w:val="1FC54A80"/>
    <w:rsid w:val="1FD45061"/>
    <w:rsid w:val="1FD55731"/>
    <w:rsid w:val="1FE7539E"/>
    <w:rsid w:val="1FEB5C4B"/>
    <w:rsid w:val="1FFC753C"/>
    <w:rsid w:val="2016308A"/>
    <w:rsid w:val="203F5D2D"/>
    <w:rsid w:val="204549CB"/>
    <w:rsid w:val="204C261F"/>
    <w:rsid w:val="204D5AF5"/>
    <w:rsid w:val="20671BE0"/>
    <w:rsid w:val="206E4856"/>
    <w:rsid w:val="20750AEE"/>
    <w:rsid w:val="208970CB"/>
    <w:rsid w:val="208C6A3B"/>
    <w:rsid w:val="20963CB8"/>
    <w:rsid w:val="209E0C68"/>
    <w:rsid w:val="20A81A1B"/>
    <w:rsid w:val="20AA32DF"/>
    <w:rsid w:val="20B07FB6"/>
    <w:rsid w:val="20B441AC"/>
    <w:rsid w:val="20B646FB"/>
    <w:rsid w:val="20C63571"/>
    <w:rsid w:val="20CA24A2"/>
    <w:rsid w:val="20ED67A3"/>
    <w:rsid w:val="20F008ED"/>
    <w:rsid w:val="21052EB3"/>
    <w:rsid w:val="211F0A7F"/>
    <w:rsid w:val="21213A63"/>
    <w:rsid w:val="213B74B1"/>
    <w:rsid w:val="214E52F3"/>
    <w:rsid w:val="215A0888"/>
    <w:rsid w:val="215A2310"/>
    <w:rsid w:val="215C01BC"/>
    <w:rsid w:val="21612C00"/>
    <w:rsid w:val="21793E98"/>
    <w:rsid w:val="217F3513"/>
    <w:rsid w:val="21863EB8"/>
    <w:rsid w:val="219E4563"/>
    <w:rsid w:val="21A8288A"/>
    <w:rsid w:val="21D75FCF"/>
    <w:rsid w:val="21DE318A"/>
    <w:rsid w:val="21DF4E18"/>
    <w:rsid w:val="21E11254"/>
    <w:rsid w:val="21EE5ADE"/>
    <w:rsid w:val="21EF5B80"/>
    <w:rsid w:val="22087549"/>
    <w:rsid w:val="22131D3A"/>
    <w:rsid w:val="2219214C"/>
    <w:rsid w:val="22576990"/>
    <w:rsid w:val="22667476"/>
    <w:rsid w:val="227B4BD4"/>
    <w:rsid w:val="22882321"/>
    <w:rsid w:val="22BD1A49"/>
    <w:rsid w:val="22E04820"/>
    <w:rsid w:val="22E63661"/>
    <w:rsid w:val="22EA5E9B"/>
    <w:rsid w:val="22F47480"/>
    <w:rsid w:val="22FF1876"/>
    <w:rsid w:val="23417FB4"/>
    <w:rsid w:val="23565B95"/>
    <w:rsid w:val="23835679"/>
    <w:rsid w:val="23863EB6"/>
    <w:rsid w:val="23C72311"/>
    <w:rsid w:val="23DE1C48"/>
    <w:rsid w:val="23F7122B"/>
    <w:rsid w:val="23F93549"/>
    <w:rsid w:val="240210CD"/>
    <w:rsid w:val="24414D43"/>
    <w:rsid w:val="24511A45"/>
    <w:rsid w:val="246E05DA"/>
    <w:rsid w:val="248554CD"/>
    <w:rsid w:val="249246E6"/>
    <w:rsid w:val="24963975"/>
    <w:rsid w:val="24BF09F7"/>
    <w:rsid w:val="24D06096"/>
    <w:rsid w:val="24D61335"/>
    <w:rsid w:val="24D74947"/>
    <w:rsid w:val="24D85DC1"/>
    <w:rsid w:val="24DB4282"/>
    <w:rsid w:val="24E24C38"/>
    <w:rsid w:val="24F10547"/>
    <w:rsid w:val="25082082"/>
    <w:rsid w:val="250E45B1"/>
    <w:rsid w:val="2515011E"/>
    <w:rsid w:val="251B39DB"/>
    <w:rsid w:val="251C5519"/>
    <w:rsid w:val="25287243"/>
    <w:rsid w:val="252D53FE"/>
    <w:rsid w:val="25A2482D"/>
    <w:rsid w:val="25A90B0A"/>
    <w:rsid w:val="25E04F5A"/>
    <w:rsid w:val="25EC2D81"/>
    <w:rsid w:val="260333D3"/>
    <w:rsid w:val="2611108C"/>
    <w:rsid w:val="261E217E"/>
    <w:rsid w:val="26284522"/>
    <w:rsid w:val="26321B73"/>
    <w:rsid w:val="265B7A3B"/>
    <w:rsid w:val="2661244A"/>
    <w:rsid w:val="268C3924"/>
    <w:rsid w:val="2691167F"/>
    <w:rsid w:val="26A530D5"/>
    <w:rsid w:val="26D273CF"/>
    <w:rsid w:val="26D5763B"/>
    <w:rsid w:val="26FA33CA"/>
    <w:rsid w:val="274B5418"/>
    <w:rsid w:val="277057A2"/>
    <w:rsid w:val="278A4A25"/>
    <w:rsid w:val="27933CD0"/>
    <w:rsid w:val="27A20992"/>
    <w:rsid w:val="27BD725A"/>
    <w:rsid w:val="27CA37EF"/>
    <w:rsid w:val="27CF7F00"/>
    <w:rsid w:val="280A304D"/>
    <w:rsid w:val="280C59E4"/>
    <w:rsid w:val="280D3CB7"/>
    <w:rsid w:val="28273D82"/>
    <w:rsid w:val="28524E45"/>
    <w:rsid w:val="28565E54"/>
    <w:rsid w:val="28613050"/>
    <w:rsid w:val="288427F2"/>
    <w:rsid w:val="289C0A39"/>
    <w:rsid w:val="28E15EFF"/>
    <w:rsid w:val="28E83CAF"/>
    <w:rsid w:val="290D6316"/>
    <w:rsid w:val="291B5FC8"/>
    <w:rsid w:val="29206EB8"/>
    <w:rsid w:val="293D6F46"/>
    <w:rsid w:val="29593039"/>
    <w:rsid w:val="29595666"/>
    <w:rsid w:val="295F32F9"/>
    <w:rsid w:val="29736389"/>
    <w:rsid w:val="29874881"/>
    <w:rsid w:val="29890A5A"/>
    <w:rsid w:val="299C73FB"/>
    <w:rsid w:val="29AA5CD0"/>
    <w:rsid w:val="29CB6716"/>
    <w:rsid w:val="29CD08C2"/>
    <w:rsid w:val="29DC68FB"/>
    <w:rsid w:val="29E325E0"/>
    <w:rsid w:val="29EE7784"/>
    <w:rsid w:val="2A314286"/>
    <w:rsid w:val="2A3479E3"/>
    <w:rsid w:val="2A420242"/>
    <w:rsid w:val="2A452503"/>
    <w:rsid w:val="2A476ABE"/>
    <w:rsid w:val="2A4D5827"/>
    <w:rsid w:val="2A773A72"/>
    <w:rsid w:val="2A7A3C32"/>
    <w:rsid w:val="2A810432"/>
    <w:rsid w:val="2A9769F6"/>
    <w:rsid w:val="2A9847A9"/>
    <w:rsid w:val="2A9A42EB"/>
    <w:rsid w:val="2A9B6C9D"/>
    <w:rsid w:val="2AA76D2F"/>
    <w:rsid w:val="2ACE1068"/>
    <w:rsid w:val="2AFE7B18"/>
    <w:rsid w:val="2B072BE4"/>
    <w:rsid w:val="2B0A3367"/>
    <w:rsid w:val="2B234F0D"/>
    <w:rsid w:val="2B356FA1"/>
    <w:rsid w:val="2B454771"/>
    <w:rsid w:val="2B611EFD"/>
    <w:rsid w:val="2B682F41"/>
    <w:rsid w:val="2B7365F7"/>
    <w:rsid w:val="2B913161"/>
    <w:rsid w:val="2B936F03"/>
    <w:rsid w:val="2BA748D0"/>
    <w:rsid w:val="2BA936A8"/>
    <w:rsid w:val="2BDD26D5"/>
    <w:rsid w:val="2BE03CF2"/>
    <w:rsid w:val="2C0733A9"/>
    <w:rsid w:val="2C113D11"/>
    <w:rsid w:val="2C1A42E8"/>
    <w:rsid w:val="2C1F4178"/>
    <w:rsid w:val="2C295603"/>
    <w:rsid w:val="2C315A5A"/>
    <w:rsid w:val="2C4B1C25"/>
    <w:rsid w:val="2C4B3942"/>
    <w:rsid w:val="2C6A18D9"/>
    <w:rsid w:val="2CB217E3"/>
    <w:rsid w:val="2CBD29B0"/>
    <w:rsid w:val="2CF843FD"/>
    <w:rsid w:val="2D1A7254"/>
    <w:rsid w:val="2D2D5F77"/>
    <w:rsid w:val="2D790641"/>
    <w:rsid w:val="2D81217C"/>
    <w:rsid w:val="2D8208A3"/>
    <w:rsid w:val="2D9E56F5"/>
    <w:rsid w:val="2DBA28CE"/>
    <w:rsid w:val="2DCD3447"/>
    <w:rsid w:val="2DE04014"/>
    <w:rsid w:val="2DE43670"/>
    <w:rsid w:val="2DE72470"/>
    <w:rsid w:val="2DEA1E2C"/>
    <w:rsid w:val="2DEB4B31"/>
    <w:rsid w:val="2DF46AB8"/>
    <w:rsid w:val="2E055C28"/>
    <w:rsid w:val="2E2B600A"/>
    <w:rsid w:val="2E2D7726"/>
    <w:rsid w:val="2E30624D"/>
    <w:rsid w:val="2E4A4FA4"/>
    <w:rsid w:val="2E5806CC"/>
    <w:rsid w:val="2E5F13C2"/>
    <w:rsid w:val="2E667F96"/>
    <w:rsid w:val="2E756942"/>
    <w:rsid w:val="2E7669E3"/>
    <w:rsid w:val="2E8226AB"/>
    <w:rsid w:val="2E8D600E"/>
    <w:rsid w:val="2E910F9F"/>
    <w:rsid w:val="2E970A54"/>
    <w:rsid w:val="2E9E03AD"/>
    <w:rsid w:val="2EAA14BE"/>
    <w:rsid w:val="2EDD7E41"/>
    <w:rsid w:val="2EE3638F"/>
    <w:rsid w:val="2EF305A3"/>
    <w:rsid w:val="2EFA572F"/>
    <w:rsid w:val="2F1131E6"/>
    <w:rsid w:val="2F551940"/>
    <w:rsid w:val="2F64219A"/>
    <w:rsid w:val="2F883999"/>
    <w:rsid w:val="2FA32719"/>
    <w:rsid w:val="2FA75995"/>
    <w:rsid w:val="2FAD27F0"/>
    <w:rsid w:val="2FBA04FC"/>
    <w:rsid w:val="2FD065E6"/>
    <w:rsid w:val="2FD96870"/>
    <w:rsid w:val="2FDE5857"/>
    <w:rsid w:val="302A47C7"/>
    <w:rsid w:val="30335488"/>
    <w:rsid w:val="30580BC9"/>
    <w:rsid w:val="308E18D5"/>
    <w:rsid w:val="309249F7"/>
    <w:rsid w:val="30E92438"/>
    <w:rsid w:val="31105E7F"/>
    <w:rsid w:val="311E2ED7"/>
    <w:rsid w:val="31315A06"/>
    <w:rsid w:val="315619EE"/>
    <w:rsid w:val="315C449C"/>
    <w:rsid w:val="31703102"/>
    <w:rsid w:val="318A21B6"/>
    <w:rsid w:val="31996BCE"/>
    <w:rsid w:val="31A25EFF"/>
    <w:rsid w:val="31AC0AD4"/>
    <w:rsid w:val="31B82709"/>
    <w:rsid w:val="31BA1B94"/>
    <w:rsid w:val="31C20893"/>
    <w:rsid w:val="31CD7FB6"/>
    <w:rsid w:val="31D05482"/>
    <w:rsid w:val="31E337DF"/>
    <w:rsid w:val="32131483"/>
    <w:rsid w:val="3225408E"/>
    <w:rsid w:val="32282AFE"/>
    <w:rsid w:val="3229451B"/>
    <w:rsid w:val="32400B34"/>
    <w:rsid w:val="32454E0D"/>
    <w:rsid w:val="324F4DC0"/>
    <w:rsid w:val="326B0BB5"/>
    <w:rsid w:val="327227C1"/>
    <w:rsid w:val="32957BF2"/>
    <w:rsid w:val="32983F19"/>
    <w:rsid w:val="3299130F"/>
    <w:rsid w:val="329A6510"/>
    <w:rsid w:val="329E6876"/>
    <w:rsid w:val="32A76D49"/>
    <w:rsid w:val="32AA36D6"/>
    <w:rsid w:val="32BA29DD"/>
    <w:rsid w:val="32C136BE"/>
    <w:rsid w:val="32C8370C"/>
    <w:rsid w:val="32CA6D9F"/>
    <w:rsid w:val="32DB5CD7"/>
    <w:rsid w:val="32FC42B7"/>
    <w:rsid w:val="330C16E5"/>
    <w:rsid w:val="331C631F"/>
    <w:rsid w:val="33296CA7"/>
    <w:rsid w:val="333015F2"/>
    <w:rsid w:val="333773D4"/>
    <w:rsid w:val="334B6320"/>
    <w:rsid w:val="334C079D"/>
    <w:rsid w:val="33557385"/>
    <w:rsid w:val="335711A5"/>
    <w:rsid w:val="33877693"/>
    <w:rsid w:val="33A25C0F"/>
    <w:rsid w:val="33A80923"/>
    <w:rsid w:val="33BD5E72"/>
    <w:rsid w:val="33D934D4"/>
    <w:rsid w:val="33FE2F6A"/>
    <w:rsid w:val="340E07E5"/>
    <w:rsid w:val="34235BF7"/>
    <w:rsid w:val="34336383"/>
    <w:rsid w:val="343F6DF9"/>
    <w:rsid w:val="34757159"/>
    <w:rsid w:val="348424FD"/>
    <w:rsid w:val="34A46F07"/>
    <w:rsid w:val="34B82A8C"/>
    <w:rsid w:val="34C1184D"/>
    <w:rsid w:val="34C920C6"/>
    <w:rsid w:val="34FA1A35"/>
    <w:rsid w:val="34FA4F3C"/>
    <w:rsid w:val="350A489C"/>
    <w:rsid w:val="350B3333"/>
    <w:rsid w:val="351121C1"/>
    <w:rsid w:val="35212AE3"/>
    <w:rsid w:val="35251E29"/>
    <w:rsid w:val="35265D3D"/>
    <w:rsid w:val="355D6871"/>
    <w:rsid w:val="356B742C"/>
    <w:rsid w:val="356D7D9E"/>
    <w:rsid w:val="3588463C"/>
    <w:rsid w:val="358C5FA8"/>
    <w:rsid w:val="35951697"/>
    <w:rsid w:val="35970EF6"/>
    <w:rsid w:val="35AB4451"/>
    <w:rsid w:val="35B46C89"/>
    <w:rsid w:val="35B55468"/>
    <w:rsid w:val="35C15DF1"/>
    <w:rsid w:val="35D64F26"/>
    <w:rsid w:val="35E804F5"/>
    <w:rsid w:val="35F511BE"/>
    <w:rsid w:val="3605537E"/>
    <w:rsid w:val="36074A7F"/>
    <w:rsid w:val="36271489"/>
    <w:rsid w:val="3641505C"/>
    <w:rsid w:val="365219E1"/>
    <w:rsid w:val="36641492"/>
    <w:rsid w:val="36712378"/>
    <w:rsid w:val="367A375C"/>
    <w:rsid w:val="368C7F57"/>
    <w:rsid w:val="36923549"/>
    <w:rsid w:val="36977C6B"/>
    <w:rsid w:val="36B75FBF"/>
    <w:rsid w:val="36BD0C45"/>
    <w:rsid w:val="36BF2268"/>
    <w:rsid w:val="36C079A4"/>
    <w:rsid w:val="36C43473"/>
    <w:rsid w:val="36C6458F"/>
    <w:rsid w:val="36E71C9A"/>
    <w:rsid w:val="36EF6B43"/>
    <w:rsid w:val="36F37BB4"/>
    <w:rsid w:val="36F56754"/>
    <w:rsid w:val="37011928"/>
    <w:rsid w:val="371D2ADC"/>
    <w:rsid w:val="37294C4E"/>
    <w:rsid w:val="37550A06"/>
    <w:rsid w:val="37566220"/>
    <w:rsid w:val="376F1C80"/>
    <w:rsid w:val="378C32AC"/>
    <w:rsid w:val="37B27B48"/>
    <w:rsid w:val="37B426A4"/>
    <w:rsid w:val="37C22663"/>
    <w:rsid w:val="37D766CE"/>
    <w:rsid w:val="37E00298"/>
    <w:rsid w:val="37E6149A"/>
    <w:rsid w:val="37F561C3"/>
    <w:rsid w:val="380A1955"/>
    <w:rsid w:val="381470B3"/>
    <w:rsid w:val="381D7270"/>
    <w:rsid w:val="38385519"/>
    <w:rsid w:val="38567186"/>
    <w:rsid w:val="38590FF7"/>
    <w:rsid w:val="386B7DEF"/>
    <w:rsid w:val="387115AC"/>
    <w:rsid w:val="38853DEF"/>
    <w:rsid w:val="38961245"/>
    <w:rsid w:val="38B302F9"/>
    <w:rsid w:val="38BC1F81"/>
    <w:rsid w:val="38BF4E5C"/>
    <w:rsid w:val="38D86F16"/>
    <w:rsid w:val="38DF57B3"/>
    <w:rsid w:val="38F12CD3"/>
    <w:rsid w:val="38F15E2F"/>
    <w:rsid w:val="38F94775"/>
    <w:rsid w:val="390B5AA7"/>
    <w:rsid w:val="392971ED"/>
    <w:rsid w:val="392A3C5D"/>
    <w:rsid w:val="392E0D8E"/>
    <w:rsid w:val="392F2C4B"/>
    <w:rsid w:val="39325651"/>
    <w:rsid w:val="396D1F0F"/>
    <w:rsid w:val="397D464B"/>
    <w:rsid w:val="39803344"/>
    <w:rsid w:val="39916B44"/>
    <w:rsid w:val="39A34951"/>
    <w:rsid w:val="39B24D12"/>
    <w:rsid w:val="39CC6575"/>
    <w:rsid w:val="39DC5ADB"/>
    <w:rsid w:val="39E37FD5"/>
    <w:rsid w:val="39EC6471"/>
    <w:rsid w:val="3A01033C"/>
    <w:rsid w:val="3A2B695F"/>
    <w:rsid w:val="3A2D77DA"/>
    <w:rsid w:val="3A344255"/>
    <w:rsid w:val="3A5D0F3A"/>
    <w:rsid w:val="3A865FA2"/>
    <w:rsid w:val="3A872856"/>
    <w:rsid w:val="3A8E0536"/>
    <w:rsid w:val="3A992026"/>
    <w:rsid w:val="3A9A0908"/>
    <w:rsid w:val="3AC07AA6"/>
    <w:rsid w:val="3AC26C7E"/>
    <w:rsid w:val="3ADB6940"/>
    <w:rsid w:val="3AEB4F71"/>
    <w:rsid w:val="3AF82852"/>
    <w:rsid w:val="3AFB0F35"/>
    <w:rsid w:val="3B3748EF"/>
    <w:rsid w:val="3B3763D1"/>
    <w:rsid w:val="3B38684A"/>
    <w:rsid w:val="3B3D4B50"/>
    <w:rsid w:val="3B604598"/>
    <w:rsid w:val="3B6A75AA"/>
    <w:rsid w:val="3B7C716A"/>
    <w:rsid w:val="3BA23236"/>
    <w:rsid w:val="3BAA78CC"/>
    <w:rsid w:val="3BAF12F6"/>
    <w:rsid w:val="3BB3088C"/>
    <w:rsid w:val="3BC0184D"/>
    <w:rsid w:val="3BC10E58"/>
    <w:rsid w:val="3BC208CA"/>
    <w:rsid w:val="3C082077"/>
    <w:rsid w:val="3C157400"/>
    <w:rsid w:val="3C2F6E1E"/>
    <w:rsid w:val="3C376A68"/>
    <w:rsid w:val="3C4F64BA"/>
    <w:rsid w:val="3C58488B"/>
    <w:rsid w:val="3C5B58E7"/>
    <w:rsid w:val="3C766A18"/>
    <w:rsid w:val="3C7C0CEA"/>
    <w:rsid w:val="3C902AC7"/>
    <w:rsid w:val="3CA619C8"/>
    <w:rsid w:val="3CA813CD"/>
    <w:rsid w:val="3CA9691F"/>
    <w:rsid w:val="3CAB2902"/>
    <w:rsid w:val="3CC2196E"/>
    <w:rsid w:val="3CCA5744"/>
    <w:rsid w:val="3CCE2AD3"/>
    <w:rsid w:val="3CDA245A"/>
    <w:rsid w:val="3D0819C7"/>
    <w:rsid w:val="3D0A791C"/>
    <w:rsid w:val="3D1E06B7"/>
    <w:rsid w:val="3D790817"/>
    <w:rsid w:val="3D7A1A80"/>
    <w:rsid w:val="3D7D4AE2"/>
    <w:rsid w:val="3DBB693C"/>
    <w:rsid w:val="3DBC6467"/>
    <w:rsid w:val="3DCF4EA0"/>
    <w:rsid w:val="3E073C93"/>
    <w:rsid w:val="3E2238C4"/>
    <w:rsid w:val="3E2F3683"/>
    <w:rsid w:val="3E3314C3"/>
    <w:rsid w:val="3E660D33"/>
    <w:rsid w:val="3E9410B0"/>
    <w:rsid w:val="3E967927"/>
    <w:rsid w:val="3E98782D"/>
    <w:rsid w:val="3E9F613B"/>
    <w:rsid w:val="3EAE5A4E"/>
    <w:rsid w:val="3EB00999"/>
    <w:rsid w:val="3EC823BA"/>
    <w:rsid w:val="3EDA0523"/>
    <w:rsid w:val="3EE1055C"/>
    <w:rsid w:val="3EE13230"/>
    <w:rsid w:val="3EFE7CDA"/>
    <w:rsid w:val="3F0E2CA6"/>
    <w:rsid w:val="3F1366B5"/>
    <w:rsid w:val="3F3571AC"/>
    <w:rsid w:val="3F490242"/>
    <w:rsid w:val="3F7660DD"/>
    <w:rsid w:val="3F780403"/>
    <w:rsid w:val="3F891C2A"/>
    <w:rsid w:val="3FB032C6"/>
    <w:rsid w:val="3FB23F93"/>
    <w:rsid w:val="3FBD2D80"/>
    <w:rsid w:val="3FC94FEB"/>
    <w:rsid w:val="3FE545D3"/>
    <w:rsid w:val="3FFB5B15"/>
    <w:rsid w:val="3FFD2BEF"/>
    <w:rsid w:val="4004790F"/>
    <w:rsid w:val="402D7889"/>
    <w:rsid w:val="40456EC3"/>
    <w:rsid w:val="405502F9"/>
    <w:rsid w:val="405C5BA6"/>
    <w:rsid w:val="405F5752"/>
    <w:rsid w:val="4069101A"/>
    <w:rsid w:val="40693846"/>
    <w:rsid w:val="406B0186"/>
    <w:rsid w:val="407A6407"/>
    <w:rsid w:val="40854E6B"/>
    <w:rsid w:val="409262FC"/>
    <w:rsid w:val="40B208BE"/>
    <w:rsid w:val="40C005C6"/>
    <w:rsid w:val="40C03386"/>
    <w:rsid w:val="40CF02AB"/>
    <w:rsid w:val="40D65F15"/>
    <w:rsid w:val="40DA5738"/>
    <w:rsid w:val="40EA3C11"/>
    <w:rsid w:val="40F11DC2"/>
    <w:rsid w:val="411068AA"/>
    <w:rsid w:val="41223652"/>
    <w:rsid w:val="41367327"/>
    <w:rsid w:val="41386CA8"/>
    <w:rsid w:val="41410394"/>
    <w:rsid w:val="41513586"/>
    <w:rsid w:val="41641E0C"/>
    <w:rsid w:val="4186432B"/>
    <w:rsid w:val="41A50BA0"/>
    <w:rsid w:val="41D617B7"/>
    <w:rsid w:val="41DF4DF4"/>
    <w:rsid w:val="41E954FB"/>
    <w:rsid w:val="41F914D4"/>
    <w:rsid w:val="4200449D"/>
    <w:rsid w:val="42096B41"/>
    <w:rsid w:val="423A3BCC"/>
    <w:rsid w:val="42430EC0"/>
    <w:rsid w:val="424E57D2"/>
    <w:rsid w:val="425278D3"/>
    <w:rsid w:val="42873C60"/>
    <w:rsid w:val="428F1B58"/>
    <w:rsid w:val="42B26C49"/>
    <w:rsid w:val="42C3423D"/>
    <w:rsid w:val="42C44BB0"/>
    <w:rsid w:val="42D55C6E"/>
    <w:rsid w:val="42F70A4F"/>
    <w:rsid w:val="42FD5A3B"/>
    <w:rsid w:val="430330BE"/>
    <w:rsid w:val="432A12C5"/>
    <w:rsid w:val="432E2B24"/>
    <w:rsid w:val="433A6FE6"/>
    <w:rsid w:val="43480868"/>
    <w:rsid w:val="4350713C"/>
    <w:rsid w:val="435C2BBB"/>
    <w:rsid w:val="436653E0"/>
    <w:rsid w:val="438065BE"/>
    <w:rsid w:val="438A0EF7"/>
    <w:rsid w:val="43BE0520"/>
    <w:rsid w:val="43C4431A"/>
    <w:rsid w:val="43C86FAA"/>
    <w:rsid w:val="43CD0FA0"/>
    <w:rsid w:val="43D00D85"/>
    <w:rsid w:val="43D06EB8"/>
    <w:rsid w:val="44041103"/>
    <w:rsid w:val="441F3E1D"/>
    <w:rsid w:val="4429387E"/>
    <w:rsid w:val="44351627"/>
    <w:rsid w:val="44710869"/>
    <w:rsid w:val="44821D53"/>
    <w:rsid w:val="44A02F03"/>
    <w:rsid w:val="44B566D8"/>
    <w:rsid w:val="44B951CC"/>
    <w:rsid w:val="44C36623"/>
    <w:rsid w:val="44CD14E0"/>
    <w:rsid w:val="44DA3BDA"/>
    <w:rsid w:val="44E16052"/>
    <w:rsid w:val="44E946BA"/>
    <w:rsid w:val="44F20B0B"/>
    <w:rsid w:val="44F66736"/>
    <w:rsid w:val="44FF2FDA"/>
    <w:rsid w:val="451236AE"/>
    <w:rsid w:val="45124348"/>
    <w:rsid w:val="4529113C"/>
    <w:rsid w:val="452E5F4C"/>
    <w:rsid w:val="452F697A"/>
    <w:rsid w:val="45324AF5"/>
    <w:rsid w:val="453A6303"/>
    <w:rsid w:val="45564501"/>
    <w:rsid w:val="45612018"/>
    <w:rsid w:val="456816EC"/>
    <w:rsid w:val="458946E9"/>
    <w:rsid w:val="459C6CE8"/>
    <w:rsid w:val="45A47C0E"/>
    <w:rsid w:val="45C4595F"/>
    <w:rsid w:val="4603688D"/>
    <w:rsid w:val="460904A2"/>
    <w:rsid w:val="460F308D"/>
    <w:rsid w:val="4611016B"/>
    <w:rsid w:val="461E3474"/>
    <w:rsid w:val="46210CE8"/>
    <w:rsid w:val="46577FD6"/>
    <w:rsid w:val="4676339E"/>
    <w:rsid w:val="46A309FA"/>
    <w:rsid w:val="46A3314C"/>
    <w:rsid w:val="46B307EE"/>
    <w:rsid w:val="46C928C3"/>
    <w:rsid w:val="46D304B9"/>
    <w:rsid w:val="46D955A7"/>
    <w:rsid w:val="46D97A51"/>
    <w:rsid w:val="46E9257A"/>
    <w:rsid w:val="47067B9F"/>
    <w:rsid w:val="47133957"/>
    <w:rsid w:val="47180BD4"/>
    <w:rsid w:val="473577F9"/>
    <w:rsid w:val="474E51F3"/>
    <w:rsid w:val="47552FB3"/>
    <w:rsid w:val="47694F04"/>
    <w:rsid w:val="47722122"/>
    <w:rsid w:val="47A07E0C"/>
    <w:rsid w:val="47A91369"/>
    <w:rsid w:val="47B966BC"/>
    <w:rsid w:val="47DA1C29"/>
    <w:rsid w:val="48221E3C"/>
    <w:rsid w:val="484E4028"/>
    <w:rsid w:val="486D7A14"/>
    <w:rsid w:val="4870272E"/>
    <w:rsid w:val="487D037C"/>
    <w:rsid w:val="48921F28"/>
    <w:rsid w:val="48AB4F23"/>
    <w:rsid w:val="48B658AC"/>
    <w:rsid w:val="48BD28B3"/>
    <w:rsid w:val="49112400"/>
    <w:rsid w:val="49237EA8"/>
    <w:rsid w:val="49344400"/>
    <w:rsid w:val="494A21D1"/>
    <w:rsid w:val="49544B61"/>
    <w:rsid w:val="496A193C"/>
    <w:rsid w:val="497D154B"/>
    <w:rsid w:val="497F1F6E"/>
    <w:rsid w:val="499D6B4B"/>
    <w:rsid w:val="49A11142"/>
    <w:rsid w:val="49A37E83"/>
    <w:rsid w:val="49D51923"/>
    <w:rsid w:val="49DC7715"/>
    <w:rsid w:val="49E25E62"/>
    <w:rsid w:val="49F2609F"/>
    <w:rsid w:val="4A023139"/>
    <w:rsid w:val="4A287C92"/>
    <w:rsid w:val="4A33679C"/>
    <w:rsid w:val="4A531577"/>
    <w:rsid w:val="4A775F7C"/>
    <w:rsid w:val="4A7B576F"/>
    <w:rsid w:val="4A8A2340"/>
    <w:rsid w:val="4AA960C4"/>
    <w:rsid w:val="4AAD73FA"/>
    <w:rsid w:val="4AB12490"/>
    <w:rsid w:val="4AC156BC"/>
    <w:rsid w:val="4AD0278D"/>
    <w:rsid w:val="4AE90738"/>
    <w:rsid w:val="4AF561A9"/>
    <w:rsid w:val="4AF87D03"/>
    <w:rsid w:val="4B463B32"/>
    <w:rsid w:val="4B5A3DEF"/>
    <w:rsid w:val="4B642C8A"/>
    <w:rsid w:val="4B87023F"/>
    <w:rsid w:val="4B872C5E"/>
    <w:rsid w:val="4BA53ED7"/>
    <w:rsid w:val="4BA84145"/>
    <w:rsid w:val="4BBC00C6"/>
    <w:rsid w:val="4BC34673"/>
    <w:rsid w:val="4BC943E4"/>
    <w:rsid w:val="4BD8010B"/>
    <w:rsid w:val="4BEC3E43"/>
    <w:rsid w:val="4C1C2621"/>
    <w:rsid w:val="4C325336"/>
    <w:rsid w:val="4C3C44EB"/>
    <w:rsid w:val="4C4A0649"/>
    <w:rsid w:val="4C4A325A"/>
    <w:rsid w:val="4C5749C8"/>
    <w:rsid w:val="4C5F280A"/>
    <w:rsid w:val="4C64273C"/>
    <w:rsid w:val="4C68224E"/>
    <w:rsid w:val="4C7E5ECA"/>
    <w:rsid w:val="4C876AA5"/>
    <w:rsid w:val="4C89602F"/>
    <w:rsid w:val="4C8C75D8"/>
    <w:rsid w:val="4CAA190D"/>
    <w:rsid w:val="4CAB73DF"/>
    <w:rsid w:val="4CB23F88"/>
    <w:rsid w:val="4CC640AF"/>
    <w:rsid w:val="4CC93CC7"/>
    <w:rsid w:val="4CC95028"/>
    <w:rsid w:val="4CDC3E03"/>
    <w:rsid w:val="4CF41227"/>
    <w:rsid w:val="4D0E00FB"/>
    <w:rsid w:val="4D176606"/>
    <w:rsid w:val="4D1F22ED"/>
    <w:rsid w:val="4D2567E7"/>
    <w:rsid w:val="4D3076E0"/>
    <w:rsid w:val="4D324036"/>
    <w:rsid w:val="4D3818CA"/>
    <w:rsid w:val="4D554927"/>
    <w:rsid w:val="4D5A6C0B"/>
    <w:rsid w:val="4D6F7566"/>
    <w:rsid w:val="4DA96887"/>
    <w:rsid w:val="4DBD4CAA"/>
    <w:rsid w:val="4DC81938"/>
    <w:rsid w:val="4DDC5CDE"/>
    <w:rsid w:val="4DEC4FB0"/>
    <w:rsid w:val="4DF12F98"/>
    <w:rsid w:val="4E075D8A"/>
    <w:rsid w:val="4E185931"/>
    <w:rsid w:val="4E9A3EA0"/>
    <w:rsid w:val="4EC00FAD"/>
    <w:rsid w:val="4EC3027C"/>
    <w:rsid w:val="4EE20DC3"/>
    <w:rsid w:val="4F3E2B89"/>
    <w:rsid w:val="4F676250"/>
    <w:rsid w:val="4F6B64A4"/>
    <w:rsid w:val="4F86399B"/>
    <w:rsid w:val="4F8C7FFF"/>
    <w:rsid w:val="4F94690C"/>
    <w:rsid w:val="4F9843DC"/>
    <w:rsid w:val="4F9B247B"/>
    <w:rsid w:val="4FA53375"/>
    <w:rsid w:val="4FAF1E73"/>
    <w:rsid w:val="4FC62A8C"/>
    <w:rsid w:val="4FC76DCC"/>
    <w:rsid w:val="4FE20F0D"/>
    <w:rsid w:val="4FE51552"/>
    <w:rsid w:val="500238BF"/>
    <w:rsid w:val="5008564A"/>
    <w:rsid w:val="503C6765"/>
    <w:rsid w:val="504D2202"/>
    <w:rsid w:val="50504C4B"/>
    <w:rsid w:val="506D0D24"/>
    <w:rsid w:val="50736AF1"/>
    <w:rsid w:val="5076405B"/>
    <w:rsid w:val="50862BBE"/>
    <w:rsid w:val="50877D06"/>
    <w:rsid w:val="509C6E7C"/>
    <w:rsid w:val="50EF080A"/>
    <w:rsid w:val="50F52F01"/>
    <w:rsid w:val="514F6BF7"/>
    <w:rsid w:val="515D758B"/>
    <w:rsid w:val="5162104E"/>
    <w:rsid w:val="51896E68"/>
    <w:rsid w:val="51B56A75"/>
    <w:rsid w:val="51F06E3E"/>
    <w:rsid w:val="51FB38BE"/>
    <w:rsid w:val="52137977"/>
    <w:rsid w:val="522E62CD"/>
    <w:rsid w:val="525810D0"/>
    <w:rsid w:val="52904AFC"/>
    <w:rsid w:val="529138CC"/>
    <w:rsid w:val="52C062CC"/>
    <w:rsid w:val="53020DB7"/>
    <w:rsid w:val="53A039CC"/>
    <w:rsid w:val="53A1505A"/>
    <w:rsid w:val="53CA3948"/>
    <w:rsid w:val="53E47E6C"/>
    <w:rsid w:val="53FC2150"/>
    <w:rsid w:val="54063E08"/>
    <w:rsid w:val="5427683E"/>
    <w:rsid w:val="543437E8"/>
    <w:rsid w:val="545A70EC"/>
    <w:rsid w:val="5474748E"/>
    <w:rsid w:val="54A90FAB"/>
    <w:rsid w:val="54C32227"/>
    <w:rsid w:val="54F73313"/>
    <w:rsid w:val="54F80955"/>
    <w:rsid w:val="55050EF8"/>
    <w:rsid w:val="552A032B"/>
    <w:rsid w:val="553D4623"/>
    <w:rsid w:val="555170A7"/>
    <w:rsid w:val="55541946"/>
    <w:rsid w:val="55666ED8"/>
    <w:rsid w:val="557E1A2A"/>
    <w:rsid w:val="5587536D"/>
    <w:rsid w:val="55933A8C"/>
    <w:rsid w:val="559B174B"/>
    <w:rsid w:val="55A15F72"/>
    <w:rsid w:val="55CE0CF4"/>
    <w:rsid w:val="55F07F0E"/>
    <w:rsid w:val="55F427CF"/>
    <w:rsid w:val="55F42FF2"/>
    <w:rsid w:val="56150435"/>
    <w:rsid w:val="562A2CE9"/>
    <w:rsid w:val="563C6E39"/>
    <w:rsid w:val="56491A3B"/>
    <w:rsid w:val="5659306C"/>
    <w:rsid w:val="56875F18"/>
    <w:rsid w:val="56B22A9C"/>
    <w:rsid w:val="56CC6A03"/>
    <w:rsid w:val="56F31707"/>
    <w:rsid w:val="5707051B"/>
    <w:rsid w:val="57210934"/>
    <w:rsid w:val="573F5DB1"/>
    <w:rsid w:val="574C257C"/>
    <w:rsid w:val="57614CFF"/>
    <w:rsid w:val="577077E9"/>
    <w:rsid w:val="577C30E0"/>
    <w:rsid w:val="5788784B"/>
    <w:rsid w:val="57B72A76"/>
    <w:rsid w:val="57BE563F"/>
    <w:rsid w:val="57C2787C"/>
    <w:rsid w:val="57C3426C"/>
    <w:rsid w:val="57CE1F93"/>
    <w:rsid w:val="58101989"/>
    <w:rsid w:val="58275F2F"/>
    <w:rsid w:val="5836771A"/>
    <w:rsid w:val="583C7A8D"/>
    <w:rsid w:val="58497555"/>
    <w:rsid w:val="584C68E6"/>
    <w:rsid w:val="58692CBA"/>
    <w:rsid w:val="587972C4"/>
    <w:rsid w:val="588743D1"/>
    <w:rsid w:val="5887701A"/>
    <w:rsid w:val="589A792A"/>
    <w:rsid w:val="58B35501"/>
    <w:rsid w:val="58C139F4"/>
    <w:rsid w:val="58C63F41"/>
    <w:rsid w:val="58D63878"/>
    <w:rsid w:val="58E95558"/>
    <w:rsid w:val="59511B4A"/>
    <w:rsid w:val="595E6675"/>
    <w:rsid w:val="597E4543"/>
    <w:rsid w:val="598147D3"/>
    <w:rsid w:val="59845BCA"/>
    <w:rsid w:val="598D3F90"/>
    <w:rsid w:val="59936EDC"/>
    <w:rsid w:val="599635D2"/>
    <w:rsid w:val="59C0439F"/>
    <w:rsid w:val="59D50177"/>
    <w:rsid w:val="59D93841"/>
    <w:rsid w:val="5A480656"/>
    <w:rsid w:val="5A5377BA"/>
    <w:rsid w:val="5A6E45B7"/>
    <w:rsid w:val="5A812A69"/>
    <w:rsid w:val="5A893E45"/>
    <w:rsid w:val="5A9F1062"/>
    <w:rsid w:val="5AAE5BF0"/>
    <w:rsid w:val="5ABB7C64"/>
    <w:rsid w:val="5ABE2233"/>
    <w:rsid w:val="5ACF0364"/>
    <w:rsid w:val="5ADE54D7"/>
    <w:rsid w:val="5AE84ACF"/>
    <w:rsid w:val="5B061E54"/>
    <w:rsid w:val="5B335E53"/>
    <w:rsid w:val="5B5F1291"/>
    <w:rsid w:val="5B7401DE"/>
    <w:rsid w:val="5B882D47"/>
    <w:rsid w:val="5B9200CE"/>
    <w:rsid w:val="5B9D5815"/>
    <w:rsid w:val="5BC36E68"/>
    <w:rsid w:val="5BDF5D95"/>
    <w:rsid w:val="5BE03D67"/>
    <w:rsid w:val="5BED78CD"/>
    <w:rsid w:val="5BFC4F87"/>
    <w:rsid w:val="5BFE7528"/>
    <w:rsid w:val="5C4E0805"/>
    <w:rsid w:val="5C964D33"/>
    <w:rsid w:val="5C9930B4"/>
    <w:rsid w:val="5CA04D2D"/>
    <w:rsid w:val="5CA45A32"/>
    <w:rsid w:val="5CB642DE"/>
    <w:rsid w:val="5CBA25E8"/>
    <w:rsid w:val="5CBF3A85"/>
    <w:rsid w:val="5CDB5DA1"/>
    <w:rsid w:val="5CE047DB"/>
    <w:rsid w:val="5D052DB6"/>
    <w:rsid w:val="5D0D2190"/>
    <w:rsid w:val="5D234810"/>
    <w:rsid w:val="5D3850E2"/>
    <w:rsid w:val="5D3D68EA"/>
    <w:rsid w:val="5D7E59F8"/>
    <w:rsid w:val="5D98436E"/>
    <w:rsid w:val="5DFF2DE1"/>
    <w:rsid w:val="5E0228E4"/>
    <w:rsid w:val="5E2467F1"/>
    <w:rsid w:val="5E5A0423"/>
    <w:rsid w:val="5E674DC9"/>
    <w:rsid w:val="5E770861"/>
    <w:rsid w:val="5EA44A4C"/>
    <w:rsid w:val="5EAB4345"/>
    <w:rsid w:val="5EC1019F"/>
    <w:rsid w:val="5ED47ECF"/>
    <w:rsid w:val="5EE934B9"/>
    <w:rsid w:val="5F024D2B"/>
    <w:rsid w:val="5F0E6CD2"/>
    <w:rsid w:val="5F1A2B43"/>
    <w:rsid w:val="5F1C25A7"/>
    <w:rsid w:val="5F2160EC"/>
    <w:rsid w:val="5F341239"/>
    <w:rsid w:val="5F422B99"/>
    <w:rsid w:val="5F477882"/>
    <w:rsid w:val="5F4910A4"/>
    <w:rsid w:val="5F70213D"/>
    <w:rsid w:val="5F8E0DD0"/>
    <w:rsid w:val="5FB51493"/>
    <w:rsid w:val="5FB837BB"/>
    <w:rsid w:val="5FBB4D1D"/>
    <w:rsid w:val="5FCD25D0"/>
    <w:rsid w:val="5FE502A1"/>
    <w:rsid w:val="5FF16360"/>
    <w:rsid w:val="5FF91A19"/>
    <w:rsid w:val="60185CDD"/>
    <w:rsid w:val="604B7C3C"/>
    <w:rsid w:val="605A6092"/>
    <w:rsid w:val="608A02F3"/>
    <w:rsid w:val="6093124B"/>
    <w:rsid w:val="609D6352"/>
    <w:rsid w:val="60A52CFD"/>
    <w:rsid w:val="60AE6E10"/>
    <w:rsid w:val="60C8256A"/>
    <w:rsid w:val="60CC405A"/>
    <w:rsid w:val="60DF1247"/>
    <w:rsid w:val="60E60C51"/>
    <w:rsid w:val="60FB6339"/>
    <w:rsid w:val="61497B2C"/>
    <w:rsid w:val="614F25AA"/>
    <w:rsid w:val="61740AD9"/>
    <w:rsid w:val="61891E39"/>
    <w:rsid w:val="61923B97"/>
    <w:rsid w:val="619B73E2"/>
    <w:rsid w:val="61B76886"/>
    <w:rsid w:val="61DC685D"/>
    <w:rsid w:val="61E215D8"/>
    <w:rsid w:val="61E21FA9"/>
    <w:rsid w:val="61F54084"/>
    <w:rsid w:val="620E3A5E"/>
    <w:rsid w:val="621B3775"/>
    <w:rsid w:val="622D2C8B"/>
    <w:rsid w:val="62343D48"/>
    <w:rsid w:val="62364782"/>
    <w:rsid w:val="623709E5"/>
    <w:rsid w:val="62796BBA"/>
    <w:rsid w:val="62B95DAA"/>
    <w:rsid w:val="62C83944"/>
    <w:rsid w:val="62D03090"/>
    <w:rsid w:val="62F20323"/>
    <w:rsid w:val="62F276B1"/>
    <w:rsid w:val="63072935"/>
    <w:rsid w:val="63234EDD"/>
    <w:rsid w:val="63550DA9"/>
    <w:rsid w:val="63642674"/>
    <w:rsid w:val="63694076"/>
    <w:rsid w:val="638A4CF2"/>
    <w:rsid w:val="6394356A"/>
    <w:rsid w:val="639440E0"/>
    <w:rsid w:val="63A56719"/>
    <w:rsid w:val="63C61B2C"/>
    <w:rsid w:val="63D01F2A"/>
    <w:rsid w:val="63D40BE9"/>
    <w:rsid w:val="63E401E0"/>
    <w:rsid w:val="63EE44F8"/>
    <w:rsid w:val="63F460D4"/>
    <w:rsid w:val="64102431"/>
    <w:rsid w:val="64167AB3"/>
    <w:rsid w:val="64484C89"/>
    <w:rsid w:val="64594476"/>
    <w:rsid w:val="647864C3"/>
    <w:rsid w:val="648C3241"/>
    <w:rsid w:val="64A5243A"/>
    <w:rsid w:val="64A860F4"/>
    <w:rsid w:val="64D51F90"/>
    <w:rsid w:val="64DC259F"/>
    <w:rsid w:val="64E74293"/>
    <w:rsid w:val="64F531DE"/>
    <w:rsid w:val="65216E1C"/>
    <w:rsid w:val="65373578"/>
    <w:rsid w:val="65491655"/>
    <w:rsid w:val="654C1410"/>
    <w:rsid w:val="655509A6"/>
    <w:rsid w:val="655A3DBF"/>
    <w:rsid w:val="655D0A3C"/>
    <w:rsid w:val="655D4741"/>
    <w:rsid w:val="657505AD"/>
    <w:rsid w:val="65775CE1"/>
    <w:rsid w:val="657D3F8C"/>
    <w:rsid w:val="65906A86"/>
    <w:rsid w:val="65A4132B"/>
    <w:rsid w:val="65BB4BEA"/>
    <w:rsid w:val="65C15AE7"/>
    <w:rsid w:val="65D069AC"/>
    <w:rsid w:val="65D23352"/>
    <w:rsid w:val="65F02653"/>
    <w:rsid w:val="660E3C5F"/>
    <w:rsid w:val="661B1AC2"/>
    <w:rsid w:val="6635475A"/>
    <w:rsid w:val="663F08DD"/>
    <w:rsid w:val="664178E5"/>
    <w:rsid w:val="6668443D"/>
    <w:rsid w:val="66A445CD"/>
    <w:rsid w:val="66B303E4"/>
    <w:rsid w:val="66B6348E"/>
    <w:rsid w:val="66BF3C86"/>
    <w:rsid w:val="671F124A"/>
    <w:rsid w:val="67241EB6"/>
    <w:rsid w:val="674F3E6F"/>
    <w:rsid w:val="67602B04"/>
    <w:rsid w:val="677A33C6"/>
    <w:rsid w:val="6798370E"/>
    <w:rsid w:val="67A44D54"/>
    <w:rsid w:val="67A57D4D"/>
    <w:rsid w:val="67AF75D1"/>
    <w:rsid w:val="67CA10E9"/>
    <w:rsid w:val="67F22010"/>
    <w:rsid w:val="67F3323F"/>
    <w:rsid w:val="680E64EC"/>
    <w:rsid w:val="68101EB6"/>
    <w:rsid w:val="68160FA6"/>
    <w:rsid w:val="681F6961"/>
    <w:rsid w:val="68610A2F"/>
    <w:rsid w:val="68805514"/>
    <w:rsid w:val="68840009"/>
    <w:rsid w:val="68AE0E23"/>
    <w:rsid w:val="68B90E46"/>
    <w:rsid w:val="68CF2E67"/>
    <w:rsid w:val="68D15979"/>
    <w:rsid w:val="69316E2F"/>
    <w:rsid w:val="694E2071"/>
    <w:rsid w:val="69766163"/>
    <w:rsid w:val="697A3B33"/>
    <w:rsid w:val="698955CA"/>
    <w:rsid w:val="699C4A92"/>
    <w:rsid w:val="69A23A2D"/>
    <w:rsid w:val="69C4382B"/>
    <w:rsid w:val="69D44760"/>
    <w:rsid w:val="69D60195"/>
    <w:rsid w:val="69D83854"/>
    <w:rsid w:val="69F52A27"/>
    <w:rsid w:val="6A0A3065"/>
    <w:rsid w:val="6A244F80"/>
    <w:rsid w:val="6A3F7E58"/>
    <w:rsid w:val="6A520EC7"/>
    <w:rsid w:val="6A820763"/>
    <w:rsid w:val="6A994AE2"/>
    <w:rsid w:val="6AA66F7C"/>
    <w:rsid w:val="6AB10BD3"/>
    <w:rsid w:val="6AB12D99"/>
    <w:rsid w:val="6AE34DE1"/>
    <w:rsid w:val="6AF25099"/>
    <w:rsid w:val="6AF87E20"/>
    <w:rsid w:val="6B322639"/>
    <w:rsid w:val="6B576161"/>
    <w:rsid w:val="6B6100CB"/>
    <w:rsid w:val="6B7B3B40"/>
    <w:rsid w:val="6BAB7E58"/>
    <w:rsid w:val="6BB47915"/>
    <w:rsid w:val="6C04436B"/>
    <w:rsid w:val="6C404415"/>
    <w:rsid w:val="6C4B73F8"/>
    <w:rsid w:val="6C4E659A"/>
    <w:rsid w:val="6C62760D"/>
    <w:rsid w:val="6C636C38"/>
    <w:rsid w:val="6C742106"/>
    <w:rsid w:val="6C7B7312"/>
    <w:rsid w:val="6C8167B5"/>
    <w:rsid w:val="6CA41FF3"/>
    <w:rsid w:val="6CB21D21"/>
    <w:rsid w:val="6CDE344F"/>
    <w:rsid w:val="6CE43E11"/>
    <w:rsid w:val="6CE56E71"/>
    <w:rsid w:val="6CF65614"/>
    <w:rsid w:val="6D1C561D"/>
    <w:rsid w:val="6D257D4A"/>
    <w:rsid w:val="6D3E0BDB"/>
    <w:rsid w:val="6D4C1A7F"/>
    <w:rsid w:val="6D536BAA"/>
    <w:rsid w:val="6D6249E7"/>
    <w:rsid w:val="6D8667CE"/>
    <w:rsid w:val="6D8810AE"/>
    <w:rsid w:val="6DB34098"/>
    <w:rsid w:val="6DB545B6"/>
    <w:rsid w:val="6DB66549"/>
    <w:rsid w:val="6DE02FB4"/>
    <w:rsid w:val="6DFF059B"/>
    <w:rsid w:val="6E1811A2"/>
    <w:rsid w:val="6E211F2B"/>
    <w:rsid w:val="6E2163FE"/>
    <w:rsid w:val="6E2D1323"/>
    <w:rsid w:val="6E514CED"/>
    <w:rsid w:val="6E5B161E"/>
    <w:rsid w:val="6E632992"/>
    <w:rsid w:val="6E643FCD"/>
    <w:rsid w:val="6E8D4441"/>
    <w:rsid w:val="6EA47239"/>
    <w:rsid w:val="6EAA19AE"/>
    <w:rsid w:val="6EAD7EF0"/>
    <w:rsid w:val="6EB43055"/>
    <w:rsid w:val="6EB563D5"/>
    <w:rsid w:val="6ED421B0"/>
    <w:rsid w:val="6ED43FCC"/>
    <w:rsid w:val="6ED92677"/>
    <w:rsid w:val="6EEB45FF"/>
    <w:rsid w:val="6F225983"/>
    <w:rsid w:val="6F2D2B98"/>
    <w:rsid w:val="6F3A54CF"/>
    <w:rsid w:val="6F3B2175"/>
    <w:rsid w:val="6F927D49"/>
    <w:rsid w:val="6F990653"/>
    <w:rsid w:val="6FE963F8"/>
    <w:rsid w:val="6FEF206C"/>
    <w:rsid w:val="6FF2592F"/>
    <w:rsid w:val="6FF95FC5"/>
    <w:rsid w:val="6FFB385C"/>
    <w:rsid w:val="6FFC5590"/>
    <w:rsid w:val="702C64C3"/>
    <w:rsid w:val="70550631"/>
    <w:rsid w:val="706D1DD0"/>
    <w:rsid w:val="707709B0"/>
    <w:rsid w:val="70815EAF"/>
    <w:rsid w:val="70856B87"/>
    <w:rsid w:val="709C2434"/>
    <w:rsid w:val="70AD66BA"/>
    <w:rsid w:val="70D527EE"/>
    <w:rsid w:val="70F92088"/>
    <w:rsid w:val="710D1F4B"/>
    <w:rsid w:val="71475197"/>
    <w:rsid w:val="714C7BC5"/>
    <w:rsid w:val="715055ED"/>
    <w:rsid w:val="7152179F"/>
    <w:rsid w:val="715B5300"/>
    <w:rsid w:val="717160B8"/>
    <w:rsid w:val="71847067"/>
    <w:rsid w:val="718E603F"/>
    <w:rsid w:val="719654E0"/>
    <w:rsid w:val="7197149A"/>
    <w:rsid w:val="71A67ECD"/>
    <w:rsid w:val="71A71273"/>
    <w:rsid w:val="71A722DE"/>
    <w:rsid w:val="71C3602A"/>
    <w:rsid w:val="71C8627B"/>
    <w:rsid w:val="71CA5019"/>
    <w:rsid w:val="71D27F8A"/>
    <w:rsid w:val="71EC17EA"/>
    <w:rsid w:val="71FB09CF"/>
    <w:rsid w:val="72035CCB"/>
    <w:rsid w:val="72210E8B"/>
    <w:rsid w:val="72287BB2"/>
    <w:rsid w:val="722F09F5"/>
    <w:rsid w:val="72345C8F"/>
    <w:rsid w:val="72352D15"/>
    <w:rsid w:val="724816AF"/>
    <w:rsid w:val="72553024"/>
    <w:rsid w:val="728B76C7"/>
    <w:rsid w:val="72A808CE"/>
    <w:rsid w:val="72BB015E"/>
    <w:rsid w:val="72E14E43"/>
    <w:rsid w:val="73122968"/>
    <w:rsid w:val="73124E05"/>
    <w:rsid w:val="731F5D5E"/>
    <w:rsid w:val="732F7BB3"/>
    <w:rsid w:val="733439D7"/>
    <w:rsid w:val="735769E0"/>
    <w:rsid w:val="73610D05"/>
    <w:rsid w:val="736E01C2"/>
    <w:rsid w:val="73803C8C"/>
    <w:rsid w:val="73920B2B"/>
    <w:rsid w:val="739D5F65"/>
    <w:rsid w:val="73AA76C3"/>
    <w:rsid w:val="73C51AD5"/>
    <w:rsid w:val="73C649FF"/>
    <w:rsid w:val="73D131F4"/>
    <w:rsid w:val="73DE3E07"/>
    <w:rsid w:val="73F9696E"/>
    <w:rsid w:val="741E530E"/>
    <w:rsid w:val="741E793C"/>
    <w:rsid w:val="74365CEE"/>
    <w:rsid w:val="745354C8"/>
    <w:rsid w:val="745E3944"/>
    <w:rsid w:val="745F2280"/>
    <w:rsid w:val="74755226"/>
    <w:rsid w:val="747669A3"/>
    <w:rsid w:val="74CB3654"/>
    <w:rsid w:val="74DE2737"/>
    <w:rsid w:val="74EC5D3B"/>
    <w:rsid w:val="74EE4752"/>
    <w:rsid w:val="75494DAE"/>
    <w:rsid w:val="754A01B9"/>
    <w:rsid w:val="75790340"/>
    <w:rsid w:val="75842A89"/>
    <w:rsid w:val="758B2419"/>
    <w:rsid w:val="759479F6"/>
    <w:rsid w:val="75D0384E"/>
    <w:rsid w:val="75D417DC"/>
    <w:rsid w:val="75E8379C"/>
    <w:rsid w:val="75FF758E"/>
    <w:rsid w:val="76017432"/>
    <w:rsid w:val="7607051D"/>
    <w:rsid w:val="760B58AA"/>
    <w:rsid w:val="76112AEB"/>
    <w:rsid w:val="7618711C"/>
    <w:rsid w:val="761E4C44"/>
    <w:rsid w:val="761F4A26"/>
    <w:rsid w:val="761F7CB8"/>
    <w:rsid w:val="76265C1A"/>
    <w:rsid w:val="762A1B21"/>
    <w:rsid w:val="7635099D"/>
    <w:rsid w:val="76514558"/>
    <w:rsid w:val="768238DD"/>
    <w:rsid w:val="769030B5"/>
    <w:rsid w:val="77106A9B"/>
    <w:rsid w:val="771B501D"/>
    <w:rsid w:val="776053F3"/>
    <w:rsid w:val="77762421"/>
    <w:rsid w:val="77774B2A"/>
    <w:rsid w:val="77885C49"/>
    <w:rsid w:val="779A541A"/>
    <w:rsid w:val="779D2DAD"/>
    <w:rsid w:val="779E8CEE"/>
    <w:rsid w:val="77A0012D"/>
    <w:rsid w:val="77A13454"/>
    <w:rsid w:val="77B56B1F"/>
    <w:rsid w:val="77D5220E"/>
    <w:rsid w:val="77DC54A3"/>
    <w:rsid w:val="77E141C3"/>
    <w:rsid w:val="77E92200"/>
    <w:rsid w:val="780F09F4"/>
    <w:rsid w:val="785B6DA1"/>
    <w:rsid w:val="78885037"/>
    <w:rsid w:val="78A90480"/>
    <w:rsid w:val="78C00935"/>
    <w:rsid w:val="78D45603"/>
    <w:rsid w:val="78F4782D"/>
    <w:rsid w:val="791F5D67"/>
    <w:rsid w:val="7922128C"/>
    <w:rsid w:val="79236323"/>
    <w:rsid w:val="792D1F94"/>
    <w:rsid w:val="79306721"/>
    <w:rsid w:val="7940368F"/>
    <w:rsid w:val="79522462"/>
    <w:rsid w:val="796653B0"/>
    <w:rsid w:val="797C1A84"/>
    <w:rsid w:val="798E263E"/>
    <w:rsid w:val="79945603"/>
    <w:rsid w:val="79AE1080"/>
    <w:rsid w:val="79D566AA"/>
    <w:rsid w:val="79F91D7C"/>
    <w:rsid w:val="7A0642F2"/>
    <w:rsid w:val="7A216263"/>
    <w:rsid w:val="7A364017"/>
    <w:rsid w:val="7A3B58BD"/>
    <w:rsid w:val="7A55285F"/>
    <w:rsid w:val="7A64589D"/>
    <w:rsid w:val="7A747699"/>
    <w:rsid w:val="7A7F6EF2"/>
    <w:rsid w:val="7A8265E1"/>
    <w:rsid w:val="7A8A4B16"/>
    <w:rsid w:val="7A933949"/>
    <w:rsid w:val="7AB45BBF"/>
    <w:rsid w:val="7AB718AF"/>
    <w:rsid w:val="7ACE4BAF"/>
    <w:rsid w:val="7B0320BB"/>
    <w:rsid w:val="7B0912C4"/>
    <w:rsid w:val="7B482A53"/>
    <w:rsid w:val="7B4A3E77"/>
    <w:rsid w:val="7B535CF3"/>
    <w:rsid w:val="7B5A29D7"/>
    <w:rsid w:val="7B686D42"/>
    <w:rsid w:val="7B712CBB"/>
    <w:rsid w:val="7B79673B"/>
    <w:rsid w:val="7B841746"/>
    <w:rsid w:val="7B8B6F6F"/>
    <w:rsid w:val="7B967E93"/>
    <w:rsid w:val="7BC96724"/>
    <w:rsid w:val="7C045E47"/>
    <w:rsid w:val="7C156B31"/>
    <w:rsid w:val="7C4C4E83"/>
    <w:rsid w:val="7C6C5AC7"/>
    <w:rsid w:val="7C8A0685"/>
    <w:rsid w:val="7CC6544B"/>
    <w:rsid w:val="7CD05733"/>
    <w:rsid w:val="7CD11DEB"/>
    <w:rsid w:val="7D0239FF"/>
    <w:rsid w:val="7D0E2DC4"/>
    <w:rsid w:val="7D0F6292"/>
    <w:rsid w:val="7D213F67"/>
    <w:rsid w:val="7D2949FE"/>
    <w:rsid w:val="7D366025"/>
    <w:rsid w:val="7D4416E7"/>
    <w:rsid w:val="7D5E40CD"/>
    <w:rsid w:val="7D702FEA"/>
    <w:rsid w:val="7D707897"/>
    <w:rsid w:val="7DC73BEA"/>
    <w:rsid w:val="7DCD56F2"/>
    <w:rsid w:val="7DE45683"/>
    <w:rsid w:val="7DEA63FC"/>
    <w:rsid w:val="7DED696A"/>
    <w:rsid w:val="7DEF72F3"/>
    <w:rsid w:val="7E2236B7"/>
    <w:rsid w:val="7E2F3B8A"/>
    <w:rsid w:val="7E6B1EE9"/>
    <w:rsid w:val="7E6B6D02"/>
    <w:rsid w:val="7E897751"/>
    <w:rsid w:val="7E941052"/>
    <w:rsid w:val="7E947EBC"/>
    <w:rsid w:val="7E962BB7"/>
    <w:rsid w:val="7E992FF9"/>
    <w:rsid w:val="7EB531AF"/>
    <w:rsid w:val="7EDD15CA"/>
    <w:rsid w:val="7EEA248D"/>
    <w:rsid w:val="7EEF35BD"/>
    <w:rsid w:val="7F001CE7"/>
    <w:rsid w:val="7F3D50A1"/>
    <w:rsid w:val="7F551B0F"/>
    <w:rsid w:val="7F777D64"/>
    <w:rsid w:val="7F803F0B"/>
    <w:rsid w:val="7F952830"/>
    <w:rsid w:val="7FAD0148"/>
    <w:rsid w:val="7FB66B42"/>
    <w:rsid w:val="7FD34ADC"/>
    <w:rsid w:val="7FE47E50"/>
    <w:rsid w:val="7FF44CE4"/>
    <w:rsid w:val="7FFC005A"/>
    <w:rsid w:val="9F3C0ED5"/>
    <w:rsid w:val="D2DDC205"/>
    <w:rsid w:val="EFF78B7F"/>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iPriority="39" w:semiHidden="0" w:name="toc 9"/>
    <w:lsdException w:qFormat="1"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adjustRightInd w:val="0"/>
      <w:snapToGrid w:val="0"/>
      <w:spacing w:line="360" w:lineRule="auto"/>
      <w:ind w:firstLine="480" w:firstLineChars="200"/>
      <w:jc w:val="both"/>
    </w:pPr>
    <w:rPr>
      <w:rFonts w:ascii="宋体" w:hAnsi="宋体" w:eastAsia="宋体" w:cs="宋体"/>
      <w:bCs/>
      <w:kern w:val="2"/>
      <w:sz w:val="24"/>
      <w:szCs w:val="24"/>
      <w:lang w:val="en-US" w:eastAsia="zh-CN" w:bidi="ar-SA"/>
    </w:rPr>
  </w:style>
  <w:style w:type="paragraph" w:styleId="7">
    <w:name w:val="heading 1"/>
    <w:basedOn w:val="1"/>
    <w:next w:val="1"/>
    <w:autoRedefine/>
    <w:qFormat/>
    <w:uiPriority w:val="0"/>
    <w:pPr>
      <w:widowControl/>
      <w:adjustRightInd/>
      <w:snapToGrid/>
      <w:spacing w:line="240" w:lineRule="auto"/>
      <w:ind w:firstLine="0" w:firstLineChars="0"/>
      <w:jc w:val="center"/>
      <w:outlineLvl w:val="0"/>
    </w:pPr>
    <w:rPr>
      <w:rFonts w:ascii="黑体" w:hAnsi="黑体" w:eastAsia="黑体" w:cs="Times New Roman"/>
      <w:bCs w:val="0"/>
      <w:snapToGrid w:val="0"/>
      <w:kern w:val="0"/>
      <w:sz w:val="30"/>
      <w:szCs w:val="30"/>
    </w:rPr>
  </w:style>
  <w:style w:type="paragraph" w:styleId="8">
    <w:name w:val="heading 2"/>
    <w:basedOn w:val="1"/>
    <w:next w:val="1"/>
    <w:autoRedefine/>
    <w:qFormat/>
    <w:uiPriority w:val="9"/>
    <w:pPr>
      <w:keepNext/>
      <w:keepLines/>
      <w:spacing w:before="260" w:after="260" w:line="416" w:lineRule="auto"/>
      <w:outlineLvl w:val="1"/>
    </w:pPr>
    <w:rPr>
      <w:rFonts w:ascii="Cambria" w:hAnsi="Cambria" w:eastAsia="宋体" w:cs="Times New Roman"/>
      <w:b/>
      <w:sz w:val="32"/>
      <w:szCs w:val="32"/>
    </w:rPr>
  </w:style>
  <w:style w:type="paragraph" w:styleId="9">
    <w:name w:val="heading 3"/>
    <w:basedOn w:val="1"/>
    <w:next w:val="1"/>
    <w:semiHidden/>
    <w:unhideWhenUsed/>
    <w:qFormat/>
    <w:uiPriority w:val="0"/>
    <w:pPr>
      <w:spacing w:before="0" w:beforeAutospacing="1" w:after="0" w:afterAutospacing="1"/>
      <w:jc w:val="left"/>
    </w:pPr>
    <w:rPr>
      <w:rFonts w:hint="eastAsia" w:ascii="宋体" w:hAnsi="宋体" w:eastAsia="宋体" w:cs="宋体"/>
      <w:b/>
      <w:color w:val="auto"/>
      <w:kern w:val="0"/>
      <w:sz w:val="27"/>
      <w:szCs w:val="27"/>
      <w:lang w:val="en-US" w:eastAsia="zh-CN" w:bidi="ar"/>
    </w:rPr>
  </w:style>
  <w:style w:type="paragraph" w:styleId="10">
    <w:name w:val="heading 4"/>
    <w:basedOn w:val="1"/>
    <w:next w:val="1"/>
    <w:autoRedefine/>
    <w:qFormat/>
    <w:uiPriority w:val="0"/>
    <w:pPr>
      <w:keepNext/>
      <w:keepLines/>
      <w:spacing w:before="280" w:beforeLines="0" w:beforeAutospacing="0" w:after="290" w:afterLines="0" w:afterAutospacing="0" w:line="372" w:lineRule="auto"/>
      <w:jc w:val="center"/>
      <w:outlineLvl w:val="3"/>
    </w:pPr>
    <w:rPr>
      <w:rFonts w:ascii="Times New Roman" w:hAnsi="Times New Roman" w:eastAsia="宋体"/>
      <w:b/>
    </w:rPr>
  </w:style>
  <w:style w:type="character" w:default="1" w:styleId="37">
    <w:name w:val="Default Paragraph Font"/>
    <w:autoRedefine/>
    <w:semiHidden/>
    <w:qFormat/>
    <w:uiPriority w:val="0"/>
  </w:style>
  <w:style w:type="table" w:default="1" w:styleId="35">
    <w:name w:val="Normal Table"/>
    <w:autoRedefine/>
    <w:semiHidden/>
    <w:qFormat/>
    <w:uiPriority w:val="0"/>
    <w:tblPr>
      <w:tblCellMar>
        <w:top w:w="0" w:type="dxa"/>
        <w:left w:w="108" w:type="dxa"/>
        <w:bottom w:w="0" w:type="dxa"/>
        <w:right w:w="108" w:type="dxa"/>
      </w:tblCellMar>
    </w:tblPr>
  </w:style>
  <w:style w:type="paragraph" w:styleId="2">
    <w:name w:val="Body Text First Indent 2"/>
    <w:basedOn w:val="3"/>
    <w:next w:val="4"/>
    <w:autoRedefine/>
    <w:qFormat/>
    <w:uiPriority w:val="0"/>
    <w:pPr>
      <w:ind w:firstLine="420" w:firstLineChars="200"/>
    </w:pPr>
  </w:style>
  <w:style w:type="paragraph" w:styleId="3">
    <w:name w:val="Body Text Indent"/>
    <w:basedOn w:val="1"/>
    <w:link w:val="52"/>
    <w:autoRedefine/>
    <w:qFormat/>
    <w:uiPriority w:val="0"/>
    <w:pPr>
      <w:spacing w:after="120"/>
      <w:ind w:left="420" w:leftChars="200"/>
    </w:pPr>
    <w:rPr>
      <w:rFonts w:ascii="Times New Roman" w:hAnsi="Times New Roman" w:cs="Times New Roman"/>
      <w:bCs w:val="0"/>
      <w:kern w:val="0"/>
      <w:szCs w:val="20"/>
    </w:rPr>
  </w:style>
  <w:style w:type="paragraph" w:styleId="4">
    <w:name w:val="Body Text First Indent"/>
    <w:basedOn w:val="5"/>
    <w:next w:val="1"/>
    <w:autoRedefine/>
    <w:qFormat/>
    <w:uiPriority w:val="0"/>
    <w:pPr>
      <w:spacing w:after="120"/>
      <w:ind w:firstLine="420" w:firstLineChars="100"/>
    </w:pPr>
  </w:style>
  <w:style w:type="paragraph" w:styleId="5">
    <w:name w:val="Body Text"/>
    <w:basedOn w:val="1"/>
    <w:next w:val="6"/>
    <w:link w:val="49"/>
    <w:autoRedefine/>
    <w:qFormat/>
    <w:uiPriority w:val="0"/>
    <w:pPr>
      <w:widowControl/>
      <w:snapToGrid w:val="0"/>
      <w:spacing w:before="60" w:after="160" w:line="259" w:lineRule="auto"/>
      <w:ind w:right="113"/>
    </w:pPr>
    <w:rPr>
      <w:rFonts w:ascii="Times New Roman" w:hAnsi="Times New Roman" w:cs="Times New Roman"/>
      <w:bCs w:val="0"/>
      <w:kern w:val="0"/>
      <w:sz w:val="18"/>
      <w:szCs w:val="20"/>
    </w:rPr>
  </w:style>
  <w:style w:type="paragraph" w:styleId="6">
    <w:name w:val="List Bullet 5"/>
    <w:basedOn w:val="1"/>
    <w:autoRedefine/>
    <w:qFormat/>
    <w:uiPriority w:val="0"/>
    <w:pPr>
      <w:numPr>
        <w:ilvl w:val="0"/>
        <w:numId w:val="1"/>
      </w:numPr>
    </w:pPr>
  </w:style>
  <w:style w:type="paragraph" w:styleId="11">
    <w:name w:val="Normal Indent"/>
    <w:basedOn w:val="1"/>
    <w:next w:val="2"/>
    <w:autoRedefine/>
    <w:unhideWhenUsed/>
    <w:qFormat/>
    <w:uiPriority w:val="0"/>
    <w:pPr>
      <w:spacing w:line="520" w:lineRule="exact"/>
      <w:ind w:firstLine="624"/>
    </w:pPr>
    <w:rPr>
      <w:rFonts w:ascii="Calibri" w:hAnsi="Calibri" w:eastAsia="宋体" w:cs="Times New Roman"/>
      <w:sz w:val="28"/>
      <w:szCs w:val="22"/>
    </w:rPr>
  </w:style>
  <w:style w:type="paragraph" w:styleId="12">
    <w:name w:val="List Bullet"/>
    <w:basedOn w:val="1"/>
    <w:qFormat/>
    <w:uiPriority w:val="0"/>
    <w:pPr>
      <w:numPr>
        <w:ilvl w:val="0"/>
        <w:numId w:val="2"/>
      </w:numPr>
    </w:pPr>
  </w:style>
  <w:style w:type="paragraph" w:styleId="13">
    <w:name w:val="Document Map"/>
    <w:basedOn w:val="1"/>
    <w:link w:val="50"/>
    <w:autoRedefine/>
    <w:qFormat/>
    <w:uiPriority w:val="0"/>
    <w:rPr>
      <w:rFonts w:hAnsi="Times New Roman" w:cs="Times New Roman"/>
      <w:bCs w:val="0"/>
      <w:sz w:val="18"/>
      <w:szCs w:val="18"/>
    </w:rPr>
  </w:style>
  <w:style w:type="paragraph" w:styleId="14">
    <w:name w:val="toa heading"/>
    <w:basedOn w:val="1"/>
    <w:next w:val="1"/>
    <w:autoRedefine/>
    <w:semiHidden/>
    <w:qFormat/>
    <w:uiPriority w:val="0"/>
    <w:pPr>
      <w:spacing w:before="120"/>
    </w:pPr>
    <w:rPr>
      <w:rFonts w:ascii="Arial" w:hAnsi="宋体" w:cs="宋体"/>
      <w:kern w:val="0"/>
      <w:sz w:val="24"/>
      <w:szCs w:val="20"/>
    </w:rPr>
  </w:style>
  <w:style w:type="paragraph" w:styleId="15">
    <w:name w:val="annotation text"/>
    <w:basedOn w:val="1"/>
    <w:link w:val="51"/>
    <w:autoRedefine/>
    <w:semiHidden/>
    <w:qFormat/>
    <w:uiPriority w:val="0"/>
    <w:pPr>
      <w:jc w:val="left"/>
    </w:pPr>
    <w:rPr>
      <w:rFonts w:ascii="Times New Roman" w:hAnsi="Times New Roman" w:cs="Times New Roman"/>
      <w:bCs w:val="0"/>
      <w:kern w:val="0"/>
      <w:szCs w:val="20"/>
    </w:rPr>
  </w:style>
  <w:style w:type="paragraph" w:styleId="16">
    <w:name w:val="Block Text"/>
    <w:basedOn w:val="1"/>
    <w:next w:val="1"/>
    <w:autoRedefine/>
    <w:qFormat/>
    <w:uiPriority w:val="0"/>
    <w:pPr>
      <w:spacing w:after="120"/>
      <w:ind w:left="1440" w:leftChars="700" w:rightChars="700"/>
    </w:pPr>
    <w:rPr>
      <w:szCs w:val="21"/>
    </w:rPr>
  </w:style>
  <w:style w:type="paragraph" w:styleId="17">
    <w:name w:val="Plain Text"/>
    <w:basedOn w:val="1"/>
    <w:autoRedefine/>
    <w:qFormat/>
    <w:uiPriority w:val="0"/>
    <w:rPr>
      <w:rFonts w:ascii="宋体" w:hAnsi="Courier New" w:eastAsia="仿宋_GB2312"/>
      <w:kern w:val="0"/>
      <w:sz w:val="28"/>
      <w:szCs w:val="20"/>
    </w:rPr>
  </w:style>
  <w:style w:type="paragraph" w:styleId="18">
    <w:name w:val="Date"/>
    <w:basedOn w:val="1"/>
    <w:next w:val="1"/>
    <w:link w:val="53"/>
    <w:autoRedefine/>
    <w:qFormat/>
    <w:uiPriority w:val="0"/>
    <w:pPr>
      <w:ind w:left="100" w:leftChars="2500"/>
    </w:pPr>
    <w:rPr>
      <w:rFonts w:ascii="Times New Roman" w:hAnsi="Times New Roman" w:cs="Times New Roman"/>
      <w:bCs w:val="0"/>
      <w:kern w:val="0"/>
      <w:szCs w:val="20"/>
    </w:rPr>
  </w:style>
  <w:style w:type="paragraph" w:styleId="19">
    <w:name w:val="Body Text Indent 2"/>
    <w:basedOn w:val="1"/>
    <w:autoRedefine/>
    <w:qFormat/>
    <w:uiPriority w:val="0"/>
    <w:pPr>
      <w:spacing w:after="120" w:afterLines="0" w:line="480" w:lineRule="auto"/>
      <w:ind w:left="420" w:leftChars="200"/>
    </w:pPr>
    <w:rPr>
      <w:kern w:val="0"/>
      <w:sz w:val="28"/>
      <w:szCs w:val="20"/>
    </w:rPr>
  </w:style>
  <w:style w:type="paragraph" w:styleId="20">
    <w:name w:val="Balloon Text"/>
    <w:basedOn w:val="1"/>
    <w:link w:val="54"/>
    <w:autoRedefine/>
    <w:semiHidden/>
    <w:qFormat/>
    <w:uiPriority w:val="0"/>
    <w:rPr>
      <w:rFonts w:ascii="Times New Roman" w:hAnsi="Times New Roman" w:cs="Times New Roman"/>
      <w:bCs w:val="0"/>
      <w:kern w:val="0"/>
      <w:sz w:val="18"/>
      <w:szCs w:val="20"/>
    </w:rPr>
  </w:style>
  <w:style w:type="paragraph" w:styleId="21">
    <w:name w:val="footer"/>
    <w:basedOn w:val="1"/>
    <w:link w:val="55"/>
    <w:autoRedefine/>
    <w:qFormat/>
    <w:uiPriority w:val="99"/>
    <w:pPr>
      <w:tabs>
        <w:tab w:val="center" w:pos="4153"/>
        <w:tab w:val="right" w:pos="8306"/>
      </w:tabs>
      <w:snapToGrid w:val="0"/>
      <w:jc w:val="left"/>
    </w:pPr>
    <w:rPr>
      <w:rFonts w:ascii="Times New Roman" w:hAnsi="Times New Roman" w:cs="Times New Roman"/>
      <w:bCs w:val="0"/>
      <w:kern w:val="0"/>
      <w:sz w:val="18"/>
      <w:szCs w:val="20"/>
    </w:rPr>
  </w:style>
  <w:style w:type="paragraph" w:styleId="22">
    <w:name w:val="header"/>
    <w:basedOn w:val="1"/>
    <w:link w:val="56"/>
    <w:autoRedefine/>
    <w:qFormat/>
    <w:uiPriority w:val="0"/>
    <w:pPr>
      <w:pBdr>
        <w:bottom w:val="single" w:color="auto" w:sz="6" w:space="1"/>
      </w:pBdr>
      <w:tabs>
        <w:tab w:val="center" w:pos="4153"/>
        <w:tab w:val="right" w:pos="8306"/>
      </w:tabs>
      <w:snapToGrid w:val="0"/>
      <w:jc w:val="center"/>
    </w:pPr>
    <w:rPr>
      <w:rFonts w:ascii="Times New Roman" w:hAnsi="Times New Roman" w:cs="Times New Roman"/>
      <w:bCs w:val="0"/>
      <w:kern w:val="0"/>
      <w:sz w:val="18"/>
      <w:szCs w:val="20"/>
    </w:rPr>
  </w:style>
  <w:style w:type="paragraph" w:styleId="23">
    <w:name w:val="toc 1"/>
    <w:basedOn w:val="1"/>
    <w:next w:val="1"/>
    <w:autoRedefine/>
    <w:qFormat/>
    <w:uiPriority w:val="39"/>
  </w:style>
  <w:style w:type="paragraph" w:styleId="24">
    <w:name w:val="Subtitle"/>
    <w:basedOn w:val="1"/>
    <w:next w:val="1"/>
    <w:qFormat/>
    <w:uiPriority w:val="0"/>
    <w:pPr>
      <w:adjustRightInd w:val="0"/>
      <w:snapToGrid w:val="0"/>
      <w:spacing w:before="60"/>
      <w:ind w:firstLine="200" w:firstLineChars="200"/>
      <w:jc w:val="left"/>
    </w:pPr>
    <w:rPr>
      <w:b/>
      <w:kern w:val="28"/>
      <w:sz w:val="24"/>
      <w:szCs w:val="32"/>
    </w:rPr>
  </w:style>
  <w:style w:type="paragraph" w:styleId="25">
    <w:name w:val="List"/>
    <w:basedOn w:val="1"/>
    <w:autoRedefine/>
    <w:qFormat/>
    <w:uiPriority w:val="0"/>
    <w:pPr>
      <w:spacing w:line="360" w:lineRule="exact"/>
      <w:jc w:val="center"/>
    </w:pPr>
    <w:rPr>
      <w:rFonts w:ascii="仿宋_GB2312" w:eastAsia="仿宋_GB2312"/>
      <w:sz w:val="24"/>
      <w:szCs w:val="20"/>
    </w:rPr>
  </w:style>
  <w:style w:type="paragraph" w:styleId="26">
    <w:name w:val="table of figures"/>
    <w:basedOn w:val="1"/>
    <w:next w:val="1"/>
    <w:autoRedefine/>
    <w:qFormat/>
    <w:uiPriority w:val="0"/>
    <w:pPr>
      <w:autoSpaceDE w:val="0"/>
      <w:autoSpaceDN w:val="0"/>
      <w:spacing w:line="360" w:lineRule="auto"/>
      <w:ind w:left="200" w:leftChars="200" w:hanging="200" w:hangingChars="200"/>
    </w:pPr>
    <w:rPr>
      <w:sz w:val="28"/>
      <w:szCs w:val="20"/>
    </w:rPr>
  </w:style>
  <w:style w:type="paragraph" w:styleId="27">
    <w:name w:val="toc 2"/>
    <w:basedOn w:val="1"/>
    <w:next w:val="1"/>
    <w:autoRedefine/>
    <w:unhideWhenUsed/>
    <w:qFormat/>
    <w:uiPriority w:val="39"/>
    <w:pPr>
      <w:widowControl/>
      <w:spacing w:after="100" w:afterLines="0" w:line="276" w:lineRule="auto"/>
      <w:ind w:left="220"/>
      <w:jc w:val="left"/>
    </w:pPr>
    <w:rPr>
      <w:rFonts w:ascii="Calibri" w:hAnsi="Calibri" w:eastAsia="宋体" w:cs="Times New Roman"/>
      <w:kern w:val="0"/>
      <w:sz w:val="22"/>
      <w:szCs w:val="22"/>
    </w:rPr>
  </w:style>
  <w:style w:type="paragraph" w:styleId="28">
    <w:name w:val="toc 9"/>
    <w:basedOn w:val="1"/>
    <w:next w:val="1"/>
    <w:autoRedefine/>
    <w:unhideWhenUsed/>
    <w:qFormat/>
    <w:uiPriority w:val="39"/>
    <w:pPr>
      <w:ind w:left="1680"/>
      <w:jc w:val="left"/>
    </w:pPr>
    <w:rPr>
      <w:rFonts w:ascii="Calibri" w:hAnsi="Calibri" w:cs="Calibri"/>
      <w:sz w:val="20"/>
      <w:szCs w:val="20"/>
    </w:rPr>
  </w:style>
  <w:style w:type="paragraph" w:styleId="29">
    <w:name w:val="Body Text 2"/>
    <w:basedOn w:val="1"/>
    <w:autoRedefine/>
    <w:unhideWhenUsed/>
    <w:qFormat/>
    <w:uiPriority w:val="0"/>
    <w:pPr>
      <w:spacing w:after="120" w:line="480" w:lineRule="auto"/>
    </w:pPr>
  </w:style>
  <w:style w:type="paragraph" w:styleId="30">
    <w:name w:val="Message Header"/>
    <w:basedOn w:val="1"/>
    <w:link w:val="57"/>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eastAsia="宋体" w:cs="Times New Roman"/>
    </w:rPr>
  </w:style>
  <w:style w:type="paragraph" w:styleId="31">
    <w:name w:val="HTML Preformatted"/>
    <w:basedOn w:val="1"/>
    <w:autoRedefine/>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32">
    <w:name w:val="Normal (Web)"/>
    <w:basedOn w:val="1"/>
    <w:link w:val="58"/>
    <w:autoRedefine/>
    <w:qFormat/>
    <w:uiPriority w:val="0"/>
    <w:pPr>
      <w:widowControl/>
      <w:spacing w:before="100" w:beforeAutospacing="1" w:after="100" w:afterAutospacing="1"/>
      <w:jc w:val="left"/>
    </w:pPr>
    <w:rPr>
      <w:rFonts w:cs="Times New Roman"/>
      <w:bCs w:val="0"/>
      <w:kern w:val="0"/>
      <w:szCs w:val="20"/>
    </w:rPr>
  </w:style>
  <w:style w:type="paragraph" w:styleId="33">
    <w:name w:val="Title"/>
    <w:basedOn w:val="1"/>
    <w:next w:val="1"/>
    <w:autoRedefine/>
    <w:qFormat/>
    <w:uiPriority w:val="0"/>
    <w:pPr>
      <w:pageBreakBefore/>
      <w:jc w:val="left"/>
      <w:outlineLvl w:val="0"/>
    </w:pPr>
    <w:rPr>
      <w:rFonts w:ascii="Cambria" w:hAnsi="Cambria"/>
      <w:b/>
      <w:sz w:val="32"/>
      <w:szCs w:val="32"/>
    </w:rPr>
  </w:style>
  <w:style w:type="paragraph" w:styleId="34">
    <w:name w:val="annotation subject"/>
    <w:basedOn w:val="15"/>
    <w:next w:val="15"/>
    <w:link w:val="59"/>
    <w:autoRedefine/>
    <w:semiHidden/>
    <w:qFormat/>
    <w:uiPriority w:val="0"/>
    <w:rPr>
      <w:b/>
      <w:kern w:val="2"/>
    </w:rPr>
  </w:style>
  <w:style w:type="table" w:styleId="36">
    <w:name w:val="Table Grid"/>
    <w:basedOn w:val="35"/>
    <w:autoRedefine/>
    <w:qFormat/>
    <w:uiPriority w:val="9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autoRedefine/>
    <w:qFormat/>
    <w:uiPriority w:val="0"/>
    <w:rPr>
      <w:rFonts w:ascii="Times New Roman" w:hAnsi="Times New Roman" w:eastAsia="宋体" w:cs="Times New Roman"/>
      <w:b/>
      <w:bCs/>
      <w:kern w:val="0"/>
      <w:sz w:val="24"/>
      <w:szCs w:val="20"/>
    </w:rPr>
  </w:style>
  <w:style w:type="character" w:styleId="39">
    <w:name w:val="page number"/>
    <w:basedOn w:val="37"/>
    <w:autoRedefine/>
    <w:qFormat/>
    <w:uiPriority w:val="0"/>
  </w:style>
  <w:style w:type="character" w:styleId="40">
    <w:name w:val="Hyperlink"/>
    <w:autoRedefine/>
    <w:unhideWhenUsed/>
    <w:qFormat/>
    <w:uiPriority w:val="99"/>
    <w:rPr>
      <w:color w:val="0000FF"/>
      <w:u w:val="single"/>
    </w:rPr>
  </w:style>
  <w:style w:type="character" w:styleId="41">
    <w:name w:val="annotation reference"/>
    <w:autoRedefine/>
    <w:semiHidden/>
    <w:qFormat/>
    <w:uiPriority w:val="0"/>
    <w:rPr>
      <w:sz w:val="21"/>
    </w:rPr>
  </w:style>
  <w:style w:type="paragraph" w:customStyle="1" w:styleId="42">
    <w:name w:val="Default"/>
    <w:basedOn w:val="43"/>
    <w:next w:val="1"/>
    <w:autoRedefine/>
    <w:qFormat/>
    <w:uiPriority w:val="0"/>
    <w:pPr>
      <w:widowControl w:val="0"/>
      <w:autoSpaceDE w:val="0"/>
      <w:autoSpaceDN w:val="0"/>
      <w:adjustRightInd w:val="0"/>
    </w:pPr>
    <w:rPr>
      <w:rFonts w:ascii="华文宋体" w:hAnsi="华文宋体" w:cs="华文宋体"/>
      <w:color w:val="000000"/>
      <w:sz w:val="24"/>
      <w:szCs w:val="24"/>
      <w:lang w:val="en-US" w:eastAsia="zh-CN" w:bidi="ar-SA"/>
    </w:rPr>
  </w:style>
  <w:style w:type="paragraph" w:customStyle="1" w:styleId="43">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4">
    <w:name w:val="xl27"/>
    <w:basedOn w:val="1"/>
    <w:next w:val="45"/>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45">
    <w:name w:val="A正文"/>
    <w:basedOn w:val="1"/>
    <w:next w:val="5"/>
    <w:autoRedefine/>
    <w:qFormat/>
    <w:uiPriority w:val="0"/>
    <w:pPr>
      <w:widowControl/>
      <w:overflowPunct w:val="0"/>
      <w:autoSpaceDE w:val="0"/>
      <w:autoSpaceDN w:val="0"/>
      <w:jc w:val="left"/>
      <w:textAlignment w:val="baseline"/>
    </w:pPr>
  </w:style>
  <w:style w:type="paragraph" w:customStyle="1" w:styleId="46">
    <w:name w:val="样式 正文首行缩进 + 首行缩进:  2 字符1"/>
    <w:basedOn w:val="1"/>
    <w:next w:val="23"/>
    <w:autoRedefine/>
    <w:qFormat/>
    <w:uiPriority w:val="0"/>
    <w:pPr>
      <w:spacing w:line="360" w:lineRule="auto"/>
      <w:ind w:firstLine="480" w:firstLineChars="200"/>
    </w:pPr>
    <w:rPr>
      <w:sz w:val="24"/>
    </w:rPr>
  </w:style>
  <w:style w:type="paragraph" w:customStyle="1" w:styleId="47">
    <w:name w:val="Normal (Web)1"/>
    <w:basedOn w:val="1"/>
    <w:next w:val="48"/>
    <w:autoRedefine/>
    <w:qFormat/>
    <w:uiPriority w:val="0"/>
    <w:pPr>
      <w:widowControl/>
    </w:pPr>
    <w:rPr>
      <w:rFonts w:ascii="宋体" w:eastAsia="宋体" w:cs="Times New Roman"/>
      <w:sz w:val="24"/>
      <w:szCs w:val="21"/>
    </w:rPr>
  </w:style>
  <w:style w:type="paragraph" w:customStyle="1" w:styleId="48">
    <w:name w:val="Date1"/>
    <w:basedOn w:val="1"/>
    <w:next w:val="1"/>
    <w:autoRedefine/>
    <w:qFormat/>
    <w:uiPriority w:val="0"/>
    <w:pPr>
      <w:ind w:left="2500" w:leftChars="2500"/>
    </w:pPr>
  </w:style>
  <w:style w:type="character" w:customStyle="1" w:styleId="49">
    <w:name w:val="正文文本 字符"/>
    <w:link w:val="5"/>
    <w:autoRedefine/>
    <w:qFormat/>
    <w:uiPriority w:val="0"/>
    <w:rPr>
      <w:sz w:val="18"/>
    </w:rPr>
  </w:style>
  <w:style w:type="character" w:customStyle="1" w:styleId="50">
    <w:name w:val="文档结构图 字符"/>
    <w:link w:val="13"/>
    <w:autoRedefine/>
    <w:qFormat/>
    <w:uiPriority w:val="0"/>
    <w:rPr>
      <w:rFonts w:ascii="宋体"/>
      <w:kern w:val="2"/>
      <w:sz w:val="18"/>
      <w:szCs w:val="18"/>
    </w:rPr>
  </w:style>
  <w:style w:type="character" w:customStyle="1" w:styleId="51">
    <w:name w:val="批注文字 字符"/>
    <w:link w:val="15"/>
    <w:autoRedefine/>
    <w:qFormat/>
    <w:uiPriority w:val="0"/>
    <w:rPr>
      <w:rFonts w:ascii="Times New Roman" w:hAnsi="Times New Roman" w:eastAsia="宋体"/>
      <w:sz w:val="24"/>
    </w:rPr>
  </w:style>
  <w:style w:type="character" w:customStyle="1" w:styleId="52">
    <w:name w:val="正文文本缩进 字符"/>
    <w:link w:val="3"/>
    <w:autoRedefine/>
    <w:semiHidden/>
    <w:qFormat/>
    <w:uiPriority w:val="0"/>
    <w:rPr>
      <w:rFonts w:ascii="Times New Roman" w:hAnsi="Times New Roman" w:eastAsia="宋体"/>
      <w:sz w:val="24"/>
    </w:rPr>
  </w:style>
  <w:style w:type="character" w:customStyle="1" w:styleId="53">
    <w:name w:val="日期 字符1"/>
    <w:link w:val="18"/>
    <w:autoRedefine/>
    <w:qFormat/>
    <w:uiPriority w:val="0"/>
    <w:rPr>
      <w:rFonts w:ascii="Times New Roman" w:hAnsi="Times New Roman" w:eastAsia="宋体"/>
      <w:sz w:val="24"/>
    </w:rPr>
  </w:style>
  <w:style w:type="character" w:customStyle="1" w:styleId="54">
    <w:name w:val="批注框文本 字符"/>
    <w:link w:val="20"/>
    <w:autoRedefine/>
    <w:semiHidden/>
    <w:qFormat/>
    <w:uiPriority w:val="0"/>
    <w:rPr>
      <w:rFonts w:ascii="Times New Roman" w:hAnsi="Times New Roman" w:eastAsia="宋体"/>
      <w:sz w:val="18"/>
    </w:rPr>
  </w:style>
  <w:style w:type="character" w:customStyle="1" w:styleId="55">
    <w:name w:val="页脚 字符1"/>
    <w:link w:val="21"/>
    <w:autoRedefine/>
    <w:qFormat/>
    <w:uiPriority w:val="99"/>
    <w:rPr>
      <w:sz w:val="18"/>
    </w:rPr>
  </w:style>
  <w:style w:type="character" w:customStyle="1" w:styleId="56">
    <w:name w:val="页眉 字符"/>
    <w:link w:val="22"/>
    <w:autoRedefine/>
    <w:qFormat/>
    <w:uiPriority w:val="0"/>
    <w:rPr>
      <w:sz w:val="18"/>
    </w:rPr>
  </w:style>
  <w:style w:type="character" w:customStyle="1" w:styleId="57">
    <w:name w:val="信息标题 字符"/>
    <w:link w:val="30"/>
    <w:autoRedefine/>
    <w:qFormat/>
    <w:uiPriority w:val="0"/>
    <w:rPr>
      <w:rFonts w:ascii="Cambria" w:hAnsi="Cambria" w:eastAsia="宋体" w:cs="Times New Roman"/>
      <w:bCs/>
      <w:kern w:val="2"/>
      <w:sz w:val="24"/>
      <w:szCs w:val="24"/>
      <w:shd w:val="pct20" w:color="auto" w:fill="auto"/>
    </w:rPr>
  </w:style>
  <w:style w:type="character" w:customStyle="1" w:styleId="58">
    <w:name w:val="普通(网站) 字符"/>
    <w:link w:val="32"/>
    <w:autoRedefine/>
    <w:qFormat/>
    <w:uiPriority w:val="0"/>
    <w:rPr>
      <w:rFonts w:ascii="宋体" w:hAnsi="宋体" w:eastAsia="宋体"/>
      <w:sz w:val="24"/>
    </w:rPr>
  </w:style>
  <w:style w:type="character" w:customStyle="1" w:styleId="59">
    <w:name w:val="批注主题 字符"/>
    <w:link w:val="34"/>
    <w:autoRedefine/>
    <w:semiHidden/>
    <w:qFormat/>
    <w:uiPriority w:val="0"/>
    <w:rPr>
      <w:rFonts w:ascii="Times New Roman" w:hAnsi="Times New Roman" w:eastAsia="宋体"/>
      <w:b/>
      <w:kern w:val="2"/>
      <w:sz w:val="24"/>
    </w:rPr>
  </w:style>
  <w:style w:type="character" w:customStyle="1" w:styleId="60">
    <w:name w:val="日期 字符"/>
    <w:autoRedefine/>
    <w:semiHidden/>
    <w:qFormat/>
    <w:uiPriority w:val="0"/>
    <w:rPr>
      <w:rFonts w:ascii="Times New Roman" w:hAnsi="Times New Roman" w:eastAsia="宋体"/>
      <w:sz w:val="24"/>
    </w:rPr>
  </w:style>
  <w:style w:type="character" w:customStyle="1" w:styleId="61">
    <w:name w:val="正文文本 (2) Exact"/>
    <w:basedOn w:val="62"/>
    <w:autoRedefine/>
    <w:unhideWhenUsed/>
    <w:qFormat/>
    <w:uiPriority w:val="99"/>
    <w:rPr>
      <w:rFonts w:hint="default" w:ascii="宋体" w:hAnsi="宋体" w:eastAsia="宋体"/>
      <w:sz w:val="22"/>
      <w:lang w:val="en-US" w:eastAsia="en-US"/>
    </w:rPr>
  </w:style>
  <w:style w:type="character" w:customStyle="1" w:styleId="62">
    <w:name w:val="正文文本 (2)_"/>
    <w:basedOn w:val="37"/>
    <w:link w:val="63"/>
    <w:autoRedefine/>
    <w:unhideWhenUsed/>
    <w:qFormat/>
    <w:uiPriority w:val="99"/>
    <w:rPr>
      <w:rFonts w:hint="eastAsia" w:ascii="宋体" w:hAnsi="宋体" w:eastAsia="宋体"/>
      <w:sz w:val="22"/>
    </w:rPr>
  </w:style>
  <w:style w:type="paragraph" w:customStyle="1" w:styleId="63">
    <w:name w:val="正文文本 (2)"/>
    <w:basedOn w:val="1"/>
    <w:link w:val="62"/>
    <w:autoRedefine/>
    <w:unhideWhenUsed/>
    <w:qFormat/>
    <w:uiPriority w:val="99"/>
    <w:pPr>
      <w:shd w:val="clear" w:color="auto" w:fill="FFFFFF"/>
      <w:spacing w:before="720" w:beforeLines="0" w:afterLines="0" w:line="499" w:lineRule="exact"/>
    </w:pPr>
    <w:rPr>
      <w:rFonts w:hint="eastAsia" w:ascii="宋体" w:hAnsi="宋体" w:eastAsia="宋体"/>
      <w:sz w:val="22"/>
    </w:rPr>
  </w:style>
  <w:style w:type="character" w:customStyle="1" w:styleId="64">
    <w:name w:val="NormalCharacter"/>
    <w:autoRedefine/>
    <w:semiHidden/>
    <w:qFormat/>
    <w:uiPriority w:val="0"/>
    <w:rPr>
      <w:rFonts w:ascii="宋体" w:hAnsi="宋体" w:cs="宋体"/>
      <w:bCs/>
      <w:kern w:val="2"/>
      <w:sz w:val="24"/>
      <w:szCs w:val="24"/>
      <w:lang w:val="en-US" w:eastAsia="zh-CN" w:bidi="ar-SA"/>
    </w:rPr>
  </w:style>
  <w:style w:type="character" w:customStyle="1" w:styleId="65">
    <w:name w:val="批注文字 字符1"/>
    <w:autoRedefine/>
    <w:semiHidden/>
    <w:qFormat/>
    <w:uiPriority w:val="0"/>
    <w:rPr>
      <w:rFonts w:ascii="Times New Roman" w:hAnsi="Times New Roman" w:eastAsia="宋体"/>
      <w:sz w:val="24"/>
    </w:rPr>
  </w:style>
  <w:style w:type="character" w:customStyle="1" w:styleId="66">
    <w:name w:val="页脚 字符"/>
    <w:basedOn w:val="37"/>
    <w:autoRedefine/>
    <w:qFormat/>
    <w:uiPriority w:val="99"/>
  </w:style>
  <w:style w:type="character" w:customStyle="1" w:styleId="67">
    <w:name w:val="fontstyle01"/>
    <w:autoRedefine/>
    <w:qFormat/>
    <w:uiPriority w:val="0"/>
    <w:rPr>
      <w:rFonts w:hint="eastAsia" w:ascii="宋体" w:hAnsi="宋体" w:eastAsia="宋体"/>
      <w:color w:val="000000"/>
      <w:sz w:val="24"/>
      <w:szCs w:val="24"/>
    </w:rPr>
  </w:style>
  <w:style w:type="character" w:customStyle="1" w:styleId="68">
    <w:name w:val="【正文】 Char"/>
    <w:autoRedefine/>
    <w:qFormat/>
    <w:uiPriority w:val="0"/>
    <w:rPr>
      <w:sz w:val="24"/>
      <w:szCs w:val="24"/>
    </w:rPr>
  </w:style>
  <w:style w:type="character" w:customStyle="1" w:styleId="69">
    <w:name w:val="表中字 Char"/>
    <w:link w:val="70"/>
    <w:autoRedefine/>
    <w:qFormat/>
    <w:uiPriority w:val="0"/>
    <w:rPr>
      <w:kern w:val="2"/>
      <w:sz w:val="21"/>
      <w:szCs w:val="22"/>
      <w:lang w:val="zh-CN" w:bidi="ar-SA"/>
    </w:rPr>
  </w:style>
  <w:style w:type="paragraph" w:customStyle="1" w:styleId="70">
    <w:name w:val="表中字"/>
    <w:link w:val="69"/>
    <w:autoRedefine/>
    <w:qFormat/>
    <w:uiPriority w:val="0"/>
    <w:pPr>
      <w:jc w:val="center"/>
    </w:pPr>
    <w:rPr>
      <w:rFonts w:ascii="Times New Roman" w:hAnsi="Times New Roman" w:eastAsia="宋体" w:cs="Times New Roman"/>
      <w:kern w:val="2"/>
      <w:sz w:val="21"/>
      <w:szCs w:val="22"/>
      <w:lang w:val="zh-CN" w:eastAsia="zh-CN" w:bidi="ar-SA"/>
    </w:rPr>
  </w:style>
  <w:style w:type="character" w:customStyle="1" w:styleId="71">
    <w:name w:val="正文文本 字符1"/>
    <w:autoRedefine/>
    <w:semiHidden/>
    <w:qFormat/>
    <w:uiPriority w:val="0"/>
    <w:rPr>
      <w:rFonts w:ascii="Times New Roman" w:hAnsi="Times New Roman" w:eastAsia="宋体"/>
      <w:sz w:val="24"/>
    </w:rPr>
  </w:style>
  <w:style w:type="character" w:customStyle="1" w:styleId="72">
    <w:name w:val="表格 Char"/>
    <w:link w:val="73"/>
    <w:autoRedefine/>
    <w:qFormat/>
    <w:uiPriority w:val="0"/>
    <w:rPr>
      <w:rFonts w:ascii="宋体"/>
      <w:sz w:val="21"/>
    </w:rPr>
  </w:style>
  <w:style w:type="paragraph" w:customStyle="1" w:styleId="73">
    <w:name w:val="表格"/>
    <w:basedOn w:val="25"/>
    <w:next w:val="1"/>
    <w:link w:val="72"/>
    <w:autoRedefine/>
    <w:qFormat/>
    <w:uiPriority w:val="0"/>
    <w:pPr>
      <w:adjustRightInd w:val="0"/>
      <w:snapToGrid w:val="0"/>
      <w:spacing w:beforeLines="10" w:afterLines="10" w:line="259" w:lineRule="auto"/>
      <w:jc w:val="center"/>
    </w:pPr>
    <w:rPr>
      <w:rFonts w:hAnsi="Times New Roman" w:cs="Times New Roman"/>
      <w:bCs w:val="0"/>
      <w:kern w:val="0"/>
      <w:sz w:val="21"/>
      <w:szCs w:val="20"/>
    </w:rPr>
  </w:style>
  <w:style w:type="character" w:customStyle="1" w:styleId="74">
    <w:name w:val="【正文】 Char1"/>
    <w:link w:val="75"/>
    <w:autoRedefine/>
    <w:qFormat/>
    <w:uiPriority w:val="0"/>
    <w:rPr>
      <w:kern w:val="2"/>
      <w:sz w:val="24"/>
      <w:szCs w:val="24"/>
    </w:rPr>
  </w:style>
  <w:style w:type="paragraph" w:customStyle="1" w:styleId="75">
    <w:name w:val="【正文】"/>
    <w:basedOn w:val="1"/>
    <w:next w:val="30"/>
    <w:link w:val="74"/>
    <w:autoRedefine/>
    <w:qFormat/>
    <w:uiPriority w:val="0"/>
    <w:pPr>
      <w:adjustRightInd/>
      <w:snapToGrid/>
      <w:ind w:firstLine="200"/>
    </w:pPr>
    <w:rPr>
      <w:rFonts w:ascii="Times New Roman" w:hAnsi="Times New Roman" w:cs="Times New Roman"/>
      <w:bCs w:val="0"/>
      <w:kern w:val="0"/>
    </w:rPr>
  </w:style>
  <w:style w:type="character" w:customStyle="1" w:styleId="76">
    <w:name w:val="表头 Char"/>
    <w:link w:val="77"/>
    <w:autoRedefine/>
    <w:qFormat/>
    <w:uiPriority w:val="0"/>
    <w:rPr>
      <w:rFonts w:cs="宋体"/>
      <w:b/>
      <w:kern w:val="2"/>
      <w:sz w:val="24"/>
      <w:szCs w:val="24"/>
      <w:lang w:val="en-US" w:eastAsia="zh-CN" w:bidi="ar-SA"/>
    </w:rPr>
  </w:style>
  <w:style w:type="paragraph" w:customStyle="1" w:styleId="77">
    <w:name w:val="表头"/>
    <w:basedOn w:val="78"/>
    <w:next w:val="17"/>
    <w:link w:val="76"/>
    <w:autoRedefine/>
    <w:qFormat/>
    <w:uiPriority w:val="0"/>
    <w:pPr>
      <w:adjustRightInd w:val="0"/>
      <w:snapToGrid w:val="0"/>
      <w:jc w:val="center"/>
    </w:pPr>
    <w:rPr>
      <w:rFonts w:cs="宋体"/>
      <w:b/>
      <w:kern w:val="2"/>
      <w:sz w:val="24"/>
      <w:szCs w:val="24"/>
      <w:lang w:val="en-US" w:eastAsia="zh-CN" w:bidi="ar-SA"/>
    </w:rPr>
  </w:style>
  <w:style w:type="paragraph" w:customStyle="1" w:styleId="78">
    <w:name w:val="样式4"/>
    <w:basedOn w:val="1"/>
    <w:autoRedefine/>
    <w:qFormat/>
    <w:uiPriority w:val="0"/>
    <w:pPr>
      <w:adjustRightInd w:val="0"/>
      <w:snapToGrid w:val="0"/>
      <w:jc w:val="center"/>
    </w:pPr>
    <w:rPr>
      <w:sz w:val="24"/>
      <w:szCs w:val="20"/>
    </w:rPr>
  </w:style>
  <w:style w:type="paragraph" w:customStyle="1" w:styleId="79">
    <w:name w:val="②JM正文"/>
    <w:basedOn w:val="80"/>
    <w:autoRedefine/>
    <w:qFormat/>
    <w:uiPriority w:val="0"/>
    <w:pPr>
      <w:ind w:firstLine="720" w:firstLineChars="200"/>
    </w:pPr>
  </w:style>
  <w:style w:type="paragraph" w:customStyle="1" w:styleId="80">
    <w:name w:val="②JM正文 顶格"/>
    <w:basedOn w:val="81"/>
    <w:next w:val="79"/>
    <w:autoRedefine/>
    <w:qFormat/>
    <w:uiPriority w:val="0"/>
    <w:pPr>
      <w:jc w:val="left"/>
    </w:pPr>
  </w:style>
  <w:style w:type="paragraph" w:customStyle="1" w:styleId="81">
    <w:name w:val="①JM表格 居中"/>
    <w:basedOn w:val="1"/>
    <w:next w:val="1"/>
    <w:autoRedefine/>
    <w:qFormat/>
    <w:uiPriority w:val="0"/>
    <w:pPr>
      <w:spacing w:line="240" w:lineRule="auto"/>
      <w:ind w:firstLine="0" w:firstLineChars="0"/>
      <w:jc w:val="center"/>
    </w:pPr>
    <w:rPr>
      <w:rFonts w:ascii="Times New Roman" w:hAnsi="Times New Roman"/>
      <w:sz w:val="21"/>
    </w:rPr>
  </w:style>
  <w:style w:type="paragraph" w:customStyle="1" w:styleId="82">
    <w:name w:val="首行缩进正文"/>
    <w:basedOn w:val="75"/>
    <w:autoRedefine/>
    <w:qFormat/>
    <w:uiPriority w:val="0"/>
    <w:pPr>
      <w:spacing w:line="240" w:lineRule="auto"/>
    </w:pPr>
    <w:rPr>
      <w:sz w:val="21"/>
    </w:rPr>
  </w:style>
  <w:style w:type="paragraph" w:customStyle="1" w:styleId="83">
    <w:name w:val="_Style 75"/>
    <w:autoRedefine/>
    <w:semiHidden/>
    <w:qFormat/>
    <w:uiPriority w:val="99"/>
    <w:rPr>
      <w:rFonts w:ascii="宋体" w:hAnsi="宋体" w:eastAsia="宋体" w:cs="宋体"/>
      <w:bCs/>
      <w:kern w:val="2"/>
      <w:sz w:val="24"/>
      <w:szCs w:val="24"/>
      <w:lang w:val="en-US" w:eastAsia="zh-CN" w:bidi="ar-SA"/>
    </w:rPr>
  </w:style>
  <w:style w:type="paragraph" w:customStyle="1" w:styleId="84">
    <w:name w:val="_Style 76"/>
    <w:basedOn w:val="7"/>
    <w:next w:val="1"/>
    <w:autoRedefine/>
    <w:qFormat/>
    <w:uiPriority w:val="39"/>
    <w:pPr>
      <w:keepLines/>
      <w:widowControl/>
      <w:overflowPunct/>
      <w:snapToGrid/>
      <w:spacing w:before="480" w:after="0" w:line="276" w:lineRule="auto"/>
      <w:ind w:left="0" w:firstLine="0"/>
      <w:jc w:val="left"/>
      <w:outlineLvl w:val="9"/>
    </w:pPr>
    <w:rPr>
      <w:rFonts w:ascii="Cambria" w:hAnsi="Cambria" w:eastAsia="宋体" w:cs="Times New Roman"/>
      <w:color w:val="365F91"/>
      <w:kern w:val="0"/>
      <w:sz w:val="28"/>
      <w:szCs w:val="28"/>
    </w:rPr>
  </w:style>
  <w:style w:type="paragraph" w:customStyle="1" w:styleId="85">
    <w:name w:val="D表内1磅"/>
    <w:basedOn w:val="1"/>
    <w:autoRedefine/>
    <w:qFormat/>
    <w:uiPriority w:val="0"/>
    <w:pPr>
      <w:spacing w:before="20" w:after="20"/>
      <w:jc w:val="center"/>
    </w:pPr>
    <w:rPr>
      <w:szCs w:val="21"/>
    </w:rPr>
  </w:style>
  <w:style w:type="paragraph" w:customStyle="1" w:styleId="86">
    <w:name w:val="ZH表头"/>
    <w:basedOn w:val="1"/>
    <w:autoRedefine/>
    <w:qFormat/>
    <w:uiPriority w:val="0"/>
    <w:pPr>
      <w:spacing w:beforeLines="50" w:after="100" w:afterAutospacing="1" w:line="360" w:lineRule="auto"/>
      <w:jc w:val="center"/>
    </w:pPr>
    <w:rPr>
      <w:b/>
      <w:szCs w:val="21"/>
    </w:rPr>
  </w:style>
  <w:style w:type="paragraph" w:customStyle="1" w:styleId="87">
    <w:name w:val="②JM表格 居中 仿宋"/>
    <w:basedOn w:val="88"/>
    <w:next w:val="79"/>
    <w:autoRedefine/>
    <w:qFormat/>
    <w:uiPriority w:val="0"/>
    <w:rPr>
      <w:b w:val="0"/>
    </w:rPr>
  </w:style>
  <w:style w:type="paragraph" w:customStyle="1" w:styleId="88">
    <w:name w:val="②JM表格小标题 仿宋"/>
    <w:basedOn w:val="81"/>
    <w:next w:val="79"/>
    <w:autoRedefine/>
    <w:qFormat/>
    <w:uiPriority w:val="0"/>
    <w:rPr>
      <w:rFonts w:eastAsia="仿宋"/>
      <w:b/>
    </w:rPr>
  </w:style>
  <w:style w:type="paragraph" w:customStyle="1" w:styleId="89">
    <w:name w:val="设计表格"/>
    <w:basedOn w:val="1"/>
    <w:autoRedefine/>
    <w:qFormat/>
    <w:uiPriority w:val="0"/>
    <w:pPr>
      <w:adjustRightInd w:val="0"/>
      <w:jc w:val="center"/>
    </w:pPr>
    <w:rPr>
      <w:kern w:val="0"/>
      <w:sz w:val="24"/>
    </w:rPr>
  </w:style>
  <w:style w:type="paragraph" w:customStyle="1" w:styleId="90">
    <w:name w:val="内容"/>
    <w:basedOn w:val="1"/>
    <w:autoRedefine/>
    <w:qFormat/>
    <w:uiPriority w:val="0"/>
    <w:pPr>
      <w:spacing w:beforeLines="50" w:afterLines="50"/>
      <w:ind w:firstLine="200" w:firstLineChars="200"/>
    </w:pPr>
    <w:rPr>
      <w:rFonts w:ascii="Times New Roman" w:hAnsi="Times New Roman" w:cs="Times New Roman"/>
      <w:color w:val="000000"/>
      <w:kern w:val="0"/>
      <w:sz w:val="24"/>
      <w:szCs w:val="24"/>
    </w:rPr>
  </w:style>
  <w:style w:type="paragraph" w:customStyle="1" w:styleId="91">
    <w:name w:val="正文样式1"/>
    <w:basedOn w:val="1"/>
    <w:autoRedefine/>
    <w:qFormat/>
    <w:uiPriority w:val="0"/>
    <w:pPr>
      <w:adjustRightInd w:val="0"/>
      <w:spacing w:line="288" w:lineRule="auto"/>
      <w:ind w:firstLine="360" w:firstLineChars="150"/>
      <w:textAlignment w:val="baseline"/>
    </w:pPr>
    <w:rPr>
      <w:kern w:val="0"/>
      <w:sz w:val="24"/>
      <w:szCs w:val="20"/>
    </w:rPr>
  </w:style>
  <w:style w:type="paragraph" w:customStyle="1" w:styleId="92">
    <w:name w:val="BodyTextIndent2"/>
    <w:basedOn w:val="1"/>
    <w:autoRedefine/>
    <w:qFormat/>
    <w:uiPriority w:val="0"/>
    <w:pPr>
      <w:spacing w:after="120" w:line="480" w:lineRule="auto"/>
      <w:ind w:left="420" w:leftChars="200"/>
      <w:jc w:val="both"/>
      <w:textAlignment w:val="baseline"/>
    </w:pPr>
    <w:rPr>
      <w:rFonts w:ascii="Calibri" w:hAnsi="Calibri"/>
      <w:kern w:val="2"/>
      <w:sz w:val="28"/>
      <w:szCs w:val="20"/>
      <w:lang w:val="en-US" w:eastAsia="zh-CN" w:bidi="ar-SA"/>
    </w:rPr>
  </w:style>
  <w:style w:type="paragraph" w:styleId="93">
    <w:name w:val="List Paragraph"/>
    <w:basedOn w:val="1"/>
    <w:autoRedefine/>
    <w:qFormat/>
    <w:uiPriority w:val="34"/>
    <w:pPr>
      <w:ind w:firstLine="420" w:firstLineChars="200"/>
    </w:pPr>
  </w:style>
  <w:style w:type="paragraph" w:customStyle="1" w:styleId="94">
    <w:name w:val="Body text|1"/>
    <w:basedOn w:val="1"/>
    <w:autoRedefine/>
    <w:qFormat/>
    <w:uiPriority w:val="0"/>
    <w:pPr>
      <w:widowControl w:val="0"/>
      <w:shd w:val="clear" w:color="auto" w:fill="auto"/>
      <w:spacing w:line="379" w:lineRule="auto"/>
      <w:ind w:firstLine="70"/>
    </w:pPr>
    <w:rPr>
      <w:rFonts w:ascii="宋体" w:hAnsi="宋体" w:eastAsia="宋体" w:cs="宋体"/>
      <w:sz w:val="20"/>
      <w:szCs w:val="20"/>
      <w:u w:val="none"/>
      <w:shd w:val="clear" w:color="auto" w:fill="auto"/>
      <w:lang w:val="zh-TW" w:eastAsia="zh-TW" w:bidi="zh-TW"/>
    </w:rPr>
  </w:style>
  <w:style w:type="paragraph" w:customStyle="1" w:styleId="95">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96">
    <w:name w:val="正文首行缩进1"/>
    <w:basedOn w:val="5"/>
    <w:next w:val="1"/>
    <w:autoRedefine/>
    <w:qFormat/>
    <w:uiPriority w:val="0"/>
    <w:pPr>
      <w:widowControl w:val="0"/>
      <w:adjustRightInd/>
      <w:snapToGrid/>
      <w:spacing w:before="100" w:beforeAutospacing="1" w:after="120" w:line="240" w:lineRule="auto"/>
      <w:ind w:right="0" w:firstLine="420" w:firstLineChars="100"/>
    </w:pPr>
    <w:rPr>
      <w:kern w:val="2"/>
      <w:sz w:val="21"/>
      <w:szCs w:val="21"/>
      <w:lang w:val="en-US" w:eastAsia="zh-CN"/>
    </w:rPr>
  </w:style>
  <w:style w:type="paragraph" w:customStyle="1" w:styleId="97">
    <w:name w:val="表中文字（工大）"/>
    <w:basedOn w:val="1"/>
    <w:autoRedefine/>
    <w:qFormat/>
    <w:uiPriority w:val="0"/>
    <w:pPr>
      <w:adjustRightInd/>
      <w:snapToGrid/>
      <w:spacing w:line="400" w:lineRule="exact"/>
      <w:ind w:firstLine="0" w:firstLineChars="0"/>
      <w:jc w:val="center"/>
    </w:pPr>
    <w:rPr>
      <w:rFonts w:ascii="Times New Roman" w:hAnsi="Times New Roman" w:cs="Times New Roman"/>
      <w:bCs w:val="0"/>
      <w:sz w:val="21"/>
      <w:szCs w:val="21"/>
    </w:rPr>
  </w:style>
  <w:style w:type="paragraph" w:customStyle="1" w:styleId="98">
    <w:name w:val="文章正文样式"/>
    <w:basedOn w:val="1"/>
    <w:autoRedefine/>
    <w:qFormat/>
    <w:uiPriority w:val="0"/>
    <w:pPr>
      <w:spacing w:line="520" w:lineRule="exact"/>
      <w:ind w:firstLine="480" w:firstLineChars="200"/>
      <w:jc w:val="left"/>
    </w:pPr>
    <w:rPr>
      <w:rFonts w:ascii="宋体" w:hAnsi="宋体"/>
      <w:sz w:val="24"/>
    </w:rPr>
  </w:style>
  <w:style w:type="paragraph" w:customStyle="1" w:styleId="99">
    <w:name w:val="表格题目"/>
    <w:basedOn w:val="1"/>
    <w:autoRedefine/>
    <w:qFormat/>
    <w:uiPriority w:val="0"/>
    <w:pPr>
      <w:spacing w:line="240" w:lineRule="atLeast"/>
      <w:jc w:val="center"/>
    </w:pPr>
    <w:rPr>
      <w:rFonts w:ascii="黑体" w:hAnsi="宋体" w:eastAsia="黑体"/>
      <w:sz w:val="24"/>
    </w:rPr>
  </w:style>
  <w:style w:type="paragraph" w:customStyle="1" w:styleId="100">
    <w:name w:val="UserStyle_3"/>
    <w:autoRedefine/>
    <w:qFormat/>
    <w:uiPriority w:val="0"/>
    <w:pPr>
      <w:widowControl/>
      <w:jc w:val="center"/>
      <w:textAlignment w:val="baseline"/>
    </w:pPr>
    <w:rPr>
      <w:rFonts w:ascii="Times New Roman" w:hAnsi="Times New Roman" w:eastAsia="宋体" w:cs="Times New Roman"/>
      <w:kern w:val="2"/>
      <w:sz w:val="21"/>
      <w:szCs w:val="22"/>
      <w:lang w:val="zh-CN" w:eastAsia="zh-CN" w:bidi="ar-SA"/>
    </w:rPr>
  </w:style>
  <w:style w:type="paragraph" w:customStyle="1" w:styleId="101">
    <w:name w:val="正文1"/>
    <w:basedOn w:val="1"/>
    <w:autoRedefine/>
    <w:qFormat/>
    <w:uiPriority w:val="0"/>
    <w:pPr>
      <w:adjustRightInd w:val="0"/>
      <w:spacing w:line="360" w:lineRule="atLeast"/>
      <w:jc w:val="left"/>
      <w:textAlignment w:val="baseline"/>
    </w:pPr>
    <w:rPr>
      <w:rFonts w:ascii="宋体"/>
      <w:kern w:val="0"/>
      <w:sz w:val="24"/>
      <w:szCs w:val="20"/>
    </w:rPr>
  </w:style>
  <w:style w:type="paragraph" w:customStyle="1" w:styleId="102">
    <w:name w:val="正文_15"/>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03">
    <w:name w:val="表格内容"/>
    <w:basedOn w:val="1"/>
    <w:autoRedefine/>
    <w:qFormat/>
    <w:uiPriority w:val="0"/>
    <w:pPr>
      <w:adjustRightInd/>
      <w:snapToGrid/>
      <w:ind w:firstLine="0" w:firstLineChars="0"/>
      <w:jc w:val="center"/>
      <w:textAlignment w:val="baseline"/>
    </w:pPr>
    <w:rPr>
      <w:rFonts w:ascii="Times New Roman" w:hAnsi="Times New Roman" w:cs="Times New Roman"/>
      <w:bCs w:val="0"/>
      <w:sz w:val="21"/>
      <w:szCs w:val="21"/>
    </w:rPr>
  </w:style>
  <w:style w:type="paragraph" w:customStyle="1" w:styleId="104">
    <w:name w:val="正文 首行缩进:  2 字符"/>
    <w:basedOn w:val="1"/>
    <w:autoRedefine/>
    <w:qFormat/>
    <w:uiPriority w:val="0"/>
    <w:pPr>
      <w:ind w:firstLine="579" w:firstLineChars="200"/>
    </w:pPr>
    <w:rPr>
      <w:sz w:val="28"/>
      <w:szCs w:val="20"/>
    </w:rPr>
  </w:style>
  <w:style w:type="paragraph" w:customStyle="1" w:styleId="105">
    <w:name w:val="表头和图片"/>
    <w:basedOn w:val="17"/>
    <w:next w:val="1"/>
    <w:autoRedefine/>
    <w:qFormat/>
    <w:uiPriority w:val="0"/>
    <w:pPr>
      <w:spacing w:line="480" w:lineRule="exact"/>
      <w:jc w:val="center"/>
    </w:pPr>
    <w:rPr>
      <w:rFonts w:ascii="Times New Roman" w:hAnsi="Times New Roman" w:eastAsia="黑体"/>
      <w:b/>
      <w:kern w:val="0"/>
      <w:sz w:val="20"/>
      <w:szCs w:val="20"/>
    </w:rPr>
  </w:style>
  <w:style w:type="paragraph" w:customStyle="1" w:styleId="106">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07">
    <w:name w:val="四级标题"/>
    <w:basedOn w:val="10"/>
    <w:next w:val="1"/>
    <w:autoRedefine/>
    <w:qFormat/>
    <w:uiPriority w:val="0"/>
    <w:pPr>
      <w:spacing w:before="0" w:after="0" w:line="480" w:lineRule="exact"/>
    </w:pPr>
    <w:rPr>
      <w:rFonts w:ascii="Times New Roman" w:hAnsi="Times New Roman"/>
      <w:color w:val="0070C0"/>
      <w:sz w:val="24"/>
    </w:rPr>
  </w:style>
  <w:style w:type="paragraph" w:customStyle="1" w:styleId="108">
    <w:name w:val="样式 标题 2"/>
    <w:basedOn w:val="8"/>
    <w:autoRedefine/>
    <w:qFormat/>
    <w:uiPriority w:val="0"/>
    <w:pPr>
      <w:spacing w:before="50" w:beforeLines="0" w:after="50" w:afterLines="0" w:line="416" w:lineRule="auto"/>
      <w:ind w:firstLine="0"/>
    </w:pPr>
    <w:rPr>
      <w:rFonts w:ascii="Arial" w:hAnsi="Arial" w:eastAsia="黑体"/>
      <w:kern w:val="2"/>
      <w:sz w:val="32"/>
      <w:szCs w:val="28"/>
    </w:rPr>
  </w:style>
  <w:style w:type="paragraph" w:customStyle="1" w:styleId="109">
    <w:name w:val="Table Paragraph"/>
    <w:basedOn w:val="1"/>
    <w:autoRedefine/>
    <w:qFormat/>
    <w:uiPriority w:val="0"/>
    <w:pPr>
      <w:jc w:val="left"/>
    </w:pPr>
    <w:rPr>
      <w:rFonts w:ascii="Calibri" w:hAnsi="Calibri"/>
      <w:kern w:val="0"/>
      <w:sz w:val="22"/>
      <w:szCs w:val="22"/>
      <w:lang w:eastAsia="en-US"/>
    </w:rPr>
  </w:style>
  <w:style w:type="paragraph" w:customStyle="1" w:styleId="110">
    <w:name w:val="表格式"/>
    <w:basedOn w:val="25"/>
    <w:autoRedefine/>
    <w:qFormat/>
    <w:uiPriority w:val="0"/>
    <w:pPr>
      <w:widowControl/>
      <w:spacing w:line="400" w:lineRule="exact"/>
      <w:ind w:left="0" w:firstLine="0" w:firstLineChars="0"/>
      <w:jc w:val="center"/>
    </w:pPr>
    <w:rPr>
      <w:rFonts w:ascii="宋体" w:hAnsi="宋体" w:cs="宋体"/>
      <w:kern w:val="0"/>
      <w:sz w:val="24"/>
    </w:rPr>
  </w:style>
  <w:style w:type="paragraph" w:customStyle="1" w:styleId="111">
    <w:name w:val="表格文字"/>
    <w:basedOn w:val="1"/>
    <w:next w:val="1"/>
    <w:autoRedefine/>
    <w:qFormat/>
    <w:uiPriority w:val="0"/>
    <w:pPr>
      <w:widowControl/>
      <w:adjustRightInd/>
      <w:snapToGrid/>
      <w:spacing w:line="240" w:lineRule="auto"/>
      <w:ind w:firstLine="0" w:firstLineChars="0"/>
      <w:jc w:val="center"/>
    </w:pPr>
    <w:rPr>
      <w:bCs w:val="0"/>
      <w:kern w:val="0"/>
      <w:sz w:val="21"/>
      <w:szCs w:val="21"/>
    </w:rPr>
  </w:style>
  <w:style w:type="paragraph" w:customStyle="1" w:styleId="112">
    <w:name w:val="11111"/>
    <w:basedOn w:val="1"/>
    <w:next w:val="1"/>
    <w:autoRedefine/>
    <w:qFormat/>
    <w:uiPriority w:val="0"/>
    <w:pPr>
      <w:adjustRightInd/>
      <w:snapToGrid/>
      <w:ind w:firstLine="200"/>
    </w:pPr>
    <w:rPr>
      <w:bCs w:val="0"/>
    </w:rPr>
  </w:style>
  <w:style w:type="paragraph" w:customStyle="1" w:styleId="113">
    <w:name w:val="C【表中文字】-"/>
    <w:basedOn w:val="1"/>
    <w:autoRedefine/>
    <w:qFormat/>
    <w:uiPriority w:val="0"/>
    <w:pPr>
      <w:adjustRightInd w:val="0"/>
      <w:snapToGrid w:val="0"/>
      <w:jc w:val="center"/>
    </w:pPr>
    <w:rPr>
      <w:kern w:val="0"/>
      <w:sz w:val="18"/>
      <w:szCs w:val="20"/>
    </w:rPr>
  </w:style>
  <w:style w:type="paragraph" w:customStyle="1" w:styleId="114">
    <w:name w:val="C首行缩进正文"/>
    <w:basedOn w:val="75"/>
    <w:autoRedefine/>
    <w:qFormat/>
    <w:uiPriority w:val="0"/>
  </w:style>
  <w:style w:type="paragraph" w:customStyle="1" w:styleId="115">
    <w:name w:val="样式 标题 1 + 首行缩进:  2 字符"/>
    <w:basedOn w:val="7"/>
    <w:autoRedefine/>
    <w:qFormat/>
    <w:uiPriority w:val="0"/>
    <w:pPr>
      <w:tabs>
        <w:tab w:val="left" w:leader="middleDot" w:pos="7371"/>
      </w:tabs>
      <w:ind w:firstLine="200" w:firstLineChars="200"/>
    </w:pPr>
    <w:rPr>
      <w:rFonts w:cs="宋体"/>
      <w:szCs w:val="20"/>
    </w:rPr>
  </w:style>
  <w:style w:type="paragraph" w:customStyle="1" w:styleId="116">
    <w:name w:val="表格正文"/>
    <w:basedOn w:val="1"/>
    <w:autoRedefine/>
    <w:qFormat/>
    <w:uiPriority w:val="0"/>
    <w:pPr>
      <w:jc w:val="center"/>
    </w:pPr>
    <w:rPr>
      <w:rFonts w:ascii="Times New Roman" w:hAnsi="Times New Roman"/>
      <w:szCs w:val="20"/>
    </w:rPr>
  </w:style>
  <w:style w:type="paragraph" w:customStyle="1" w:styleId="117">
    <w:name w:val="报告表正文"/>
    <w:basedOn w:val="1"/>
    <w:autoRedefine/>
    <w:qFormat/>
    <w:uiPriority w:val="0"/>
    <w:pPr>
      <w:adjustRightInd w:val="0"/>
      <w:spacing w:line="312" w:lineRule="auto"/>
      <w:ind w:left="113" w:right="113" w:firstLine="482"/>
      <w:jc w:val="left"/>
      <w:textAlignment w:val="baseline"/>
    </w:pPr>
    <w:rPr>
      <w:rFonts w:ascii="Times New Roman" w:hAnsi="Times New Roman" w:eastAsia="宋体" w:cs="Times New Roman"/>
    </w:rPr>
  </w:style>
  <w:style w:type="paragraph" w:customStyle="1" w:styleId="118">
    <w:name w:val="【表头】"/>
    <w:basedOn w:val="1"/>
    <w:next w:val="1"/>
    <w:autoRedefine/>
    <w:qFormat/>
    <w:uiPriority w:val="0"/>
    <w:pPr>
      <w:keepNext/>
      <w:adjustRightInd w:val="0"/>
      <w:snapToGrid w:val="0"/>
      <w:jc w:val="center"/>
    </w:pPr>
    <w:rPr>
      <w:rFonts w:eastAsia="黑体"/>
      <w:b/>
      <w:kern w:val="0"/>
      <w:szCs w:val="20"/>
    </w:rPr>
  </w:style>
  <w:style w:type="paragraph" w:customStyle="1" w:styleId="119">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120">
    <w:name w:val="【正文四号】"/>
    <w:basedOn w:val="1"/>
    <w:autoRedefine/>
    <w:qFormat/>
    <w:uiPriority w:val="0"/>
    <w:pPr>
      <w:spacing w:line="360" w:lineRule="auto"/>
      <w:ind w:firstLine="480" w:firstLineChars="200"/>
    </w:pPr>
    <w:rPr>
      <w:rFonts w:ascii="Times New Roman" w:hAnsi="Times New Roman"/>
      <w:sz w:val="28"/>
      <w:szCs w:val="24"/>
    </w:rPr>
  </w:style>
  <w:style w:type="paragraph" w:customStyle="1" w:styleId="121">
    <w:name w:val="正文五号缩进正文（首行缩进两字） + 宋体 行距: 1.5 倍行距"/>
    <w:basedOn w:val="11"/>
    <w:autoRedefine/>
    <w:qFormat/>
    <w:uiPriority w:val="0"/>
    <w:pPr>
      <w:spacing w:after="120" w:afterLines="50" w:line="300" w:lineRule="auto"/>
      <w:ind w:firstLine="482"/>
      <w:jc w:val="left"/>
    </w:pPr>
    <w:rPr>
      <w:rFonts w:ascii="宋体" w:hAnsi="宋体" w:eastAsia="宋体"/>
      <w:sz w:val="21"/>
      <w:szCs w:val="28"/>
    </w:rPr>
  </w:style>
  <w:style w:type="paragraph" w:customStyle="1" w:styleId="122">
    <w:name w:val="文本"/>
    <w:basedOn w:val="1"/>
    <w:autoRedefine/>
    <w:qFormat/>
    <w:uiPriority w:val="0"/>
    <w:pPr>
      <w:adjustRightInd w:val="0"/>
      <w:jc w:val="left"/>
      <w:textAlignment w:val="baseline"/>
    </w:pPr>
    <w:rPr>
      <w:rFonts w:ascii="宋体"/>
      <w:kern w:val="0"/>
      <w:sz w:val="28"/>
      <w:szCs w:val="20"/>
    </w:rPr>
  </w:style>
  <w:style w:type="paragraph" w:customStyle="1" w:styleId="123">
    <w:name w:val="我的正文"/>
    <w:basedOn w:val="1"/>
    <w:autoRedefine/>
    <w:qFormat/>
    <w:uiPriority w:val="0"/>
    <w:pPr>
      <w:adjustRightInd w:val="0"/>
      <w:snapToGrid w:val="0"/>
      <w:spacing w:line="480" w:lineRule="exact"/>
      <w:ind w:firstLine="720" w:firstLineChars="200"/>
      <w:jc w:val="left"/>
    </w:pPr>
    <w:rPr>
      <w:rFonts w:cs="宋体"/>
      <w:kern w:val="0"/>
      <w:sz w:val="20"/>
      <w:szCs w:val="21"/>
    </w:rPr>
  </w:style>
  <w:style w:type="paragraph" w:customStyle="1" w:styleId="124">
    <w:name w:val="【表中文字】-"/>
    <w:basedOn w:val="1"/>
    <w:autoRedefine/>
    <w:qFormat/>
    <w:uiPriority w:val="0"/>
    <w:pPr>
      <w:jc w:val="center"/>
    </w:pPr>
    <w:rPr>
      <w:kern w:val="0"/>
      <w:sz w:val="20"/>
      <w:szCs w:val="20"/>
    </w:rPr>
  </w:style>
  <w:style w:type="paragraph" w:customStyle="1" w:styleId="125">
    <w:name w:val="_Style 4"/>
    <w:autoRedefine/>
    <w:qFormat/>
    <w:uiPriority w:val="0"/>
    <w:pPr>
      <w:widowControl w:val="0"/>
      <w:jc w:val="both"/>
    </w:pPr>
    <w:rPr>
      <w:rFonts w:ascii="Times New Roman" w:hAnsi="Times New Roman" w:eastAsia="仿宋_GB2312" w:cs="Times New Roman"/>
      <w:kern w:val="2"/>
      <w:sz w:val="24"/>
      <w:szCs w:val="22"/>
      <w:lang w:val="en-US" w:eastAsia="zh-CN" w:bidi="ar-SA"/>
    </w:rPr>
  </w:style>
  <w:style w:type="paragraph" w:customStyle="1" w:styleId="126">
    <w:name w:val="表格填充项"/>
    <w:basedOn w:val="1"/>
    <w:autoRedefine/>
    <w:qFormat/>
    <w:uiPriority w:val="0"/>
    <w:pPr>
      <w:spacing w:line="240" w:lineRule="atLeast"/>
      <w:jc w:val="center"/>
    </w:pPr>
    <w:rPr>
      <w:rFonts w:ascii="宋体" w:hAnsi="宋体"/>
      <w:b/>
      <w:szCs w:val="24"/>
    </w:rPr>
  </w:style>
  <w:style w:type="paragraph" w:customStyle="1" w:styleId="127">
    <w:name w:val="我的表格"/>
    <w:basedOn w:val="1"/>
    <w:next w:val="1"/>
    <w:autoRedefine/>
    <w:qFormat/>
    <w:uiPriority w:val="0"/>
    <w:pPr>
      <w:adjustRightInd w:val="0"/>
      <w:snapToGrid w:val="0"/>
      <w:spacing w:before="10" w:beforeLines="10" w:after="10" w:afterLines="10" w:line="240" w:lineRule="atLeast"/>
      <w:jc w:val="center"/>
    </w:pPr>
    <w:rPr>
      <w:kern w:val="0"/>
      <w:szCs w:val="20"/>
    </w:rPr>
  </w:style>
  <w:style w:type="paragraph" w:customStyle="1" w:styleId="128">
    <w:name w:val="【表中文字】"/>
    <w:basedOn w:val="1"/>
    <w:autoRedefine/>
    <w:qFormat/>
    <w:uiPriority w:val="0"/>
    <w:pPr>
      <w:adjustRightInd/>
      <w:snapToGrid/>
      <w:spacing w:line="240" w:lineRule="auto"/>
      <w:ind w:firstLine="0" w:firstLineChars="0"/>
      <w:jc w:val="center"/>
    </w:pPr>
    <w:rPr>
      <w:rFonts w:ascii="Times New Roman" w:hAnsi="Times New Roman" w:cs="Times New Roman"/>
      <w:bCs w:val="0"/>
      <w:sz w:val="21"/>
      <w:szCs w:val="21"/>
    </w:rPr>
  </w:style>
  <w:style w:type="paragraph" w:customStyle="1" w:styleId="129">
    <w:name w:val="正文首行缩进 21"/>
    <w:basedOn w:val="3"/>
    <w:autoRedefine/>
    <w:qFormat/>
    <w:uiPriority w:val="0"/>
    <w:pPr>
      <w:adjustRightInd/>
      <w:snapToGrid/>
      <w:spacing w:before="100" w:beforeAutospacing="1"/>
      <w:ind w:firstLine="420"/>
    </w:pPr>
    <w:rPr>
      <w:kern w:val="2"/>
      <w:sz w:val="21"/>
      <w:szCs w:val="21"/>
      <w:lang w:val="en-US" w:eastAsia="zh-CN"/>
    </w:rPr>
  </w:style>
  <w:style w:type="paragraph" w:customStyle="1" w:styleId="130">
    <w:name w:val="首行缩进表格正文"/>
    <w:basedOn w:val="1"/>
    <w:autoRedefine/>
    <w:qFormat/>
    <w:uiPriority w:val="0"/>
    <w:pPr>
      <w:spacing w:line="360" w:lineRule="auto"/>
      <w:ind w:firstLine="720" w:firstLineChars="200"/>
      <w:jc w:val="left"/>
    </w:pPr>
  </w:style>
  <w:style w:type="paragraph" w:customStyle="1" w:styleId="131">
    <w:name w:val="正文_14"/>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32">
    <w:name w:val="Char Char Char Char1"/>
    <w:basedOn w:val="1"/>
    <w:autoRedefine/>
    <w:qFormat/>
    <w:uiPriority w:val="0"/>
    <w:pPr>
      <w:tabs>
        <w:tab w:val="left" w:pos="1080"/>
      </w:tabs>
      <w:jc w:val="left"/>
    </w:pPr>
    <w:rPr>
      <w:szCs w:val="21"/>
    </w:rPr>
  </w:style>
  <w:style w:type="paragraph" w:customStyle="1" w:styleId="133">
    <w:name w:val="表中文字"/>
    <w:basedOn w:val="1"/>
    <w:autoRedefine/>
    <w:qFormat/>
    <w:uiPriority w:val="0"/>
    <w:pPr>
      <w:snapToGrid w:val="0"/>
      <w:spacing w:line="300" w:lineRule="exact"/>
      <w:jc w:val="center"/>
    </w:pPr>
    <w:rPr>
      <w:sz w:val="18"/>
      <w:szCs w:val="18"/>
    </w:rPr>
  </w:style>
  <w:style w:type="character" w:customStyle="1" w:styleId="134">
    <w:name w:val="font11"/>
    <w:basedOn w:val="37"/>
    <w:autoRedefine/>
    <w:qFormat/>
    <w:uiPriority w:val="0"/>
    <w:rPr>
      <w:rFonts w:hint="eastAsia" w:ascii="宋体" w:hAnsi="宋体" w:eastAsia="宋体" w:cs="宋体"/>
      <w:color w:val="000000"/>
      <w:sz w:val="24"/>
      <w:szCs w:val="24"/>
      <w:u w:val="none"/>
    </w:rPr>
  </w:style>
  <w:style w:type="character" w:customStyle="1" w:styleId="135">
    <w:name w:val="font21"/>
    <w:basedOn w:val="37"/>
    <w:autoRedefine/>
    <w:qFormat/>
    <w:uiPriority w:val="0"/>
    <w:rPr>
      <w:rFonts w:hint="eastAsia" w:ascii="宋体" w:hAnsi="宋体" w:eastAsia="宋体" w:cs="宋体"/>
      <w:color w:val="000000"/>
      <w:sz w:val="24"/>
      <w:szCs w:val="24"/>
      <w:u w:val="none"/>
    </w:rPr>
  </w:style>
  <w:style w:type="paragraph" w:customStyle="1" w:styleId="136">
    <w:name w:val="表文"/>
    <w:basedOn w:val="1"/>
    <w:autoRedefine/>
    <w:qFormat/>
    <w:uiPriority w:val="0"/>
    <w:pPr>
      <w:jc w:val="center"/>
    </w:pPr>
    <w:rPr>
      <w:szCs w:val="21"/>
    </w:rPr>
  </w:style>
  <w:style w:type="paragraph" w:customStyle="1" w:styleId="137">
    <w:name w:val="正文格式"/>
    <w:basedOn w:val="1"/>
    <w:autoRedefine/>
    <w:qFormat/>
    <w:uiPriority w:val="0"/>
    <w:pPr>
      <w:spacing w:line="360" w:lineRule="auto"/>
      <w:ind w:firstLine="482"/>
    </w:pPr>
    <w:rPr>
      <w:sz w:val="24"/>
    </w:rPr>
  </w:style>
  <w:style w:type="paragraph" w:customStyle="1" w:styleId="138">
    <w:name w:val="正文3"/>
    <w:basedOn w:val="1"/>
    <w:autoRedefine/>
    <w:qFormat/>
    <w:uiPriority w:val="0"/>
    <w:pPr>
      <w:keepNext/>
      <w:adjustRightInd w:val="0"/>
      <w:jc w:val="center"/>
      <w:textAlignment w:val="baseline"/>
    </w:pPr>
    <w:rPr>
      <w:kern w:val="0"/>
      <w:sz w:val="28"/>
    </w:rPr>
  </w:style>
  <w:style w:type="character" w:customStyle="1" w:styleId="139">
    <w:name w:val="font31"/>
    <w:basedOn w:val="37"/>
    <w:qFormat/>
    <w:uiPriority w:val="0"/>
    <w:rPr>
      <w:rFonts w:ascii="宋体" w:hAnsi="宋体" w:eastAsia="宋体" w:cs="宋体"/>
      <w:color w:val="000000"/>
      <w:sz w:val="34"/>
      <w:szCs w:val="34"/>
      <w:u w:val="none"/>
    </w:rPr>
  </w:style>
  <w:style w:type="character" w:customStyle="1" w:styleId="140">
    <w:name w:val="font41"/>
    <w:basedOn w:val="37"/>
    <w:qFormat/>
    <w:uiPriority w:val="0"/>
    <w:rPr>
      <w:rFonts w:ascii="黑体" w:hAnsi="宋体" w:eastAsia="黑体" w:cs="黑体"/>
      <w:color w:val="000000"/>
      <w:sz w:val="34"/>
      <w:szCs w:val="34"/>
      <w:u w:val="none"/>
    </w:rPr>
  </w:style>
  <w:style w:type="character" w:customStyle="1" w:styleId="141">
    <w:name w:val="font51"/>
    <w:basedOn w:val="37"/>
    <w:qFormat/>
    <w:uiPriority w:val="0"/>
    <w:rPr>
      <w:rFonts w:ascii="黑体" w:hAnsi="宋体" w:eastAsia="黑体" w:cs="黑体"/>
      <w:color w:val="000000"/>
      <w:sz w:val="30"/>
      <w:szCs w:val="30"/>
      <w:u w:val="none"/>
    </w:rPr>
  </w:style>
  <w:style w:type="character" w:customStyle="1" w:styleId="142">
    <w:name w:val="font61"/>
    <w:basedOn w:val="37"/>
    <w:qFormat/>
    <w:uiPriority w:val="0"/>
    <w:rPr>
      <w:rFonts w:hint="default" w:ascii="Arial" w:hAnsi="Arial" w:cs="Arial"/>
      <w:color w:val="000000"/>
      <w:sz w:val="30"/>
      <w:szCs w:val="30"/>
      <w:u w:val="none"/>
    </w:rPr>
  </w:style>
  <w:style w:type="character" w:customStyle="1" w:styleId="143">
    <w:name w:val="font71"/>
    <w:basedOn w:val="37"/>
    <w:qFormat/>
    <w:uiPriority w:val="0"/>
    <w:rPr>
      <w:rFonts w:hint="default" w:ascii="Arial" w:hAnsi="Arial" w:cs="Arial"/>
      <w:color w:val="000000"/>
      <w:sz w:val="34"/>
      <w:szCs w:val="34"/>
      <w:u w:val="none"/>
    </w:rPr>
  </w:style>
  <w:style w:type="character" w:customStyle="1" w:styleId="144">
    <w:name w:val="font81"/>
    <w:basedOn w:val="37"/>
    <w:qFormat/>
    <w:uiPriority w:val="0"/>
    <w:rPr>
      <w:rFonts w:ascii="宋体" w:hAnsi="宋体" w:eastAsia="宋体" w:cs="宋体"/>
      <w:color w:val="000000"/>
      <w:sz w:val="40"/>
      <w:szCs w:val="40"/>
      <w:u w:val="none"/>
    </w:rPr>
  </w:style>
  <w:style w:type="character" w:customStyle="1" w:styleId="145">
    <w:name w:val="font91"/>
    <w:basedOn w:val="37"/>
    <w:qFormat/>
    <w:uiPriority w:val="0"/>
    <w:rPr>
      <w:rFonts w:ascii="宋体" w:hAnsi="宋体" w:eastAsia="宋体" w:cs="宋体"/>
      <w:color w:val="000000"/>
      <w:sz w:val="30"/>
      <w:szCs w:val="30"/>
      <w:u w:val="none"/>
    </w:rPr>
  </w:style>
  <w:style w:type="character" w:customStyle="1" w:styleId="146">
    <w:name w:val="font101"/>
    <w:basedOn w:val="37"/>
    <w:qFormat/>
    <w:uiPriority w:val="0"/>
    <w:rPr>
      <w:rFonts w:hint="default" w:ascii="Arial" w:hAnsi="Arial" w:cs="Arial"/>
      <w:color w:val="2BC6FF"/>
      <w:sz w:val="34"/>
      <w:szCs w:val="34"/>
      <w:u w:val="none"/>
    </w:rPr>
  </w:style>
  <w:style w:type="paragraph" w:customStyle="1" w:styleId="147">
    <w:name w:val="Table Text"/>
    <w:basedOn w:val="1"/>
    <w:semiHidden/>
    <w:qFormat/>
    <w:uiPriority w:val="0"/>
    <w:rPr>
      <w:rFonts w:ascii="宋体" w:hAnsi="宋体" w:eastAsia="宋体" w:cs="宋体"/>
      <w:sz w:val="20"/>
      <w:szCs w:val="20"/>
      <w:lang w:val="en-US" w:eastAsia="en-US" w:bidi="ar-SA"/>
    </w:rPr>
  </w:style>
  <w:style w:type="table" w:customStyle="1" w:styleId="148">
    <w:name w:val="Table Normal"/>
    <w:unhideWhenUsed/>
    <w:qFormat/>
    <w:uiPriority w:val="0"/>
    <w:tblPr>
      <w:tblCellMar>
        <w:top w:w="0" w:type="dxa"/>
        <w:left w:w="0" w:type="dxa"/>
        <w:bottom w:w="0" w:type="dxa"/>
        <w:right w:w="0" w:type="dxa"/>
      </w:tblCellMar>
    </w:tblPr>
  </w:style>
  <w:style w:type="character" w:customStyle="1" w:styleId="149">
    <w:name w:val="zhengwencolor1"/>
    <w:qFormat/>
    <w:uiPriority w:val="0"/>
    <w:rPr>
      <w:color w:val="000000"/>
      <w:sz w:val="18"/>
      <w:szCs w:val="18"/>
    </w:rPr>
  </w:style>
  <w:style w:type="paragraph" w:customStyle="1" w:styleId="150">
    <w:name w:val="表格内"/>
    <w:basedOn w:val="1"/>
    <w:qFormat/>
    <w:uiPriority w:val="99"/>
    <w:pPr>
      <w:adjustRightInd w:val="0"/>
      <w:spacing w:line="240" w:lineRule="atLeast"/>
      <w:jc w:val="center"/>
      <w:textAlignment w:val="baseline"/>
    </w:pPr>
    <w:rPr>
      <w:rFonts w:ascii="宋体"/>
      <w:kern w:val="0"/>
      <w:sz w:val="28"/>
      <w:szCs w:val="28"/>
    </w:rPr>
  </w:style>
  <w:style w:type="paragraph" w:customStyle="1" w:styleId="151">
    <w:name w:val="表头文字"/>
    <w:basedOn w:val="1"/>
    <w:qFormat/>
    <w:uiPriority w:val="0"/>
    <w:pPr>
      <w:adjustRightInd w:val="0"/>
      <w:spacing w:line="360" w:lineRule="auto"/>
      <w:jc w:val="center"/>
    </w:pPr>
    <w:rPr>
      <w:rFonts w:ascii="宋体"/>
      <w:kern w:val="0"/>
      <w:sz w:val="28"/>
      <w:szCs w:val="20"/>
    </w:rPr>
  </w:style>
  <w:style w:type="paragraph" w:customStyle="1" w:styleId="152">
    <w:name w:val="样式 正文文本缩进 + 行距: 1.5 倍行距"/>
    <w:basedOn w:val="153"/>
    <w:qFormat/>
    <w:uiPriority w:val="0"/>
    <w:pPr>
      <w:spacing w:after="120"/>
      <w:ind w:left="90" w:leftChars="32" w:firstLine="560"/>
    </w:pPr>
    <w:rPr>
      <w:rFonts w:ascii="Times New Roman" w:hAnsi="Times New Roman"/>
      <w:lang w:val="en-US"/>
    </w:rPr>
  </w:style>
  <w:style w:type="paragraph" w:customStyle="1" w:styleId="153">
    <w:name w:val="Body Text Indent"/>
    <w:basedOn w:val="1"/>
    <w:next w:val="152"/>
    <w:qFormat/>
    <w:uiPriority w:val="0"/>
    <w:pPr>
      <w:spacing w:after="120" w:afterLines="0"/>
      <w:ind w:left="420" w:leftChars="200"/>
    </w:pPr>
    <w:rPr>
      <w:rFonts w:ascii="Times New Roman" w:hAnsi="Times New Roman" w:eastAsia="宋体"/>
      <w:sz w:val="24"/>
    </w:rPr>
  </w:style>
  <w:style w:type="paragraph" w:customStyle="1" w:styleId="154">
    <w:name w:val="【表格】"/>
    <w:next w:val="1"/>
    <w:qFormat/>
    <w:uiPriority w:val="0"/>
    <w:pPr>
      <w:spacing w:line="0" w:lineRule="atLeast"/>
      <w:jc w:val="center"/>
    </w:pPr>
    <w:rPr>
      <w:rFonts w:ascii="Times New Roman" w:hAnsi="Times New Roman" w:eastAsia="宋体" w:cs="Times New Roman"/>
      <w:sz w:val="21"/>
      <w:szCs w:val="24"/>
      <w:lang w:val="en-US" w:eastAsia="zh-CN" w:bidi="ar-SA"/>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2.xml"/><Relationship Id="rId90" Type="http://schemas.openxmlformats.org/officeDocument/2006/relationships/numbering" Target="numbering.xml"/><Relationship Id="rId9" Type="http://schemas.openxmlformats.org/officeDocument/2006/relationships/footer" Target="footer2.xml"/><Relationship Id="rId89" Type="http://schemas.openxmlformats.org/officeDocument/2006/relationships/customXml" Target="../customXml/item1.xml"/><Relationship Id="rId88" Type="http://schemas.openxmlformats.org/officeDocument/2006/relationships/image" Target="media/image60.png"/><Relationship Id="rId87" Type="http://schemas.openxmlformats.org/officeDocument/2006/relationships/image" Target="media/image59.png"/><Relationship Id="rId86" Type="http://schemas.openxmlformats.org/officeDocument/2006/relationships/image" Target="media/image58.png"/><Relationship Id="rId85" Type="http://schemas.openxmlformats.org/officeDocument/2006/relationships/image" Target="media/image57.png"/><Relationship Id="rId84" Type="http://schemas.openxmlformats.org/officeDocument/2006/relationships/image" Target="media/image56.png"/><Relationship Id="rId83" Type="http://schemas.openxmlformats.org/officeDocument/2006/relationships/image" Target="media/image55.png"/><Relationship Id="rId82" Type="http://schemas.openxmlformats.org/officeDocument/2006/relationships/image" Target="media/image54.png"/><Relationship Id="rId81" Type="http://schemas.openxmlformats.org/officeDocument/2006/relationships/image" Target="media/image53.png"/><Relationship Id="rId80" Type="http://schemas.openxmlformats.org/officeDocument/2006/relationships/image" Target="media/image52.png"/><Relationship Id="rId8" Type="http://schemas.openxmlformats.org/officeDocument/2006/relationships/footer" Target="footer1.xml"/><Relationship Id="rId79" Type="http://schemas.openxmlformats.org/officeDocument/2006/relationships/image" Target="media/image51.png"/><Relationship Id="rId78" Type="http://schemas.openxmlformats.org/officeDocument/2006/relationships/image" Target="media/image50.png"/><Relationship Id="rId77" Type="http://schemas.openxmlformats.org/officeDocument/2006/relationships/image" Target="media/image49.png"/><Relationship Id="rId76" Type="http://schemas.openxmlformats.org/officeDocument/2006/relationships/image" Target="media/image48.png"/><Relationship Id="rId75" Type="http://schemas.openxmlformats.org/officeDocument/2006/relationships/image" Target="media/image47.png"/><Relationship Id="rId74" Type="http://schemas.openxmlformats.org/officeDocument/2006/relationships/image" Target="media/image46.png"/><Relationship Id="rId73" Type="http://schemas.openxmlformats.org/officeDocument/2006/relationships/image" Target="media/image45.png"/><Relationship Id="rId72" Type="http://schemas.openxmlformats.org/officeDocument/2006/relationships/image" Target="media/image44.png"/><Relationship Id="rId71" Type="http://schemas.openxmlformats.org/officeDocument/2006/relationships/image" Target="media/image43.png"/><Relationship Id="rId70" Type="http://schemas.openxmlformats.org/officeDocument/2006/relationships/image" Target="media/image42.png"/><Relationship Id="rId7" Type="http://schemas.openxmlformats.org/officeDocument/2006/relationships/header" Target="header3.xml"/><Relationship Id="rId69" Type="http://schemas.openxmlformats.org/officeDocument/2006/relationships/image" Target="media/image41.png"/><Relationship Id="rId68" Type="http://schemas.openxmlformats.org/officeDocument/2006/relationships/image" Target="media/image40.png"/><Relationship Id="rId67" Type="http://schemas.openxmlformats.org/officeDocument/2006/relationships/image" Target="media/image39.png"/><Relationship Id="rId66" Type="http://schemas.openxmlformats.org/officeDocument/2006/relationships/image" Target="media/image38.png"/><Relationship Id="rId65" Type="http://schemas.openxmlformats.org/officeDocument/2006/relationships/image" Target="media/image37.png"/><Relationship Id="rId64" Type="http://schemas.openxmlformats.org/officeDocument/2006/relationships/image" Target="media/image36.png"/><Relationship Id="rId63" Type="http://schemas.openxmlformats.org/officeDocument/2006/relationships/image" Target="media/image35.png"/><Relationship Id="rId62" Type="http://schemas.openxmlformats.org/officeDocument/2006/relationships/image" Target="media/image34.png"/><Relationship Id="rId61" Type="http://schemas.openxmlformats.org/officeDocument/2006/relationships/image" Target="media/image33.png"/><Relationship Id="rId60" Type="http://schemas.openxmlformats.org/officeDocument/2006/relationships/image" Target="media/image32.png"/><Relationship Id="rId6" Type="http://schemas.openxmlformats.org/officeDocument/2006/relationships/header" Target="header2.xml"/><Relationship Id="rId59" Type="http://schemas.openxmlformats.org/officeDocument/2006/relationships/image" Target="media/image31.png"/><Relationship Id="rId58" Type="http://schemas.openxmlformats.org/officeDocument/2006/relationships/image" Target="media/image30.png"/><Relationship Id="rId57" Type="http://schemas.openxmlformats.org/officeDocument/2006/relationships/image" Target="media/image29.png"/><Relationship Id="rId56" Type="http://schemas.openxmlformats.org/officeDocument/2006/relationships/image" Target="media/image28.png"/><Relationship Id="rId55" Type="http://schemas.openxmlformats.org/officeDocument/2006/relationships/image" Target="media/image27.png"/><Relationship Id="rId54" Type="http://schemas.openxmlformats.org/officeDocument/2006/relationships/image" Target="media/image26.jpeg"/><Relationship Id="rId53" Type="http://schemas.openxmlformats.org/officeDocument/2006/relationships/image" Target="media/image25.png"/><Relationship Id="rId52" Type="http://schemas.openxmlformats.org/officeDocument/2006/relationships/image" Target="media/image24.emf"/><Relationship Id="rId51" Type="http://schemas.openxmlformats.org/officeDocument/2006/relationships/oleObject" Target="embeddings/oleObject13.bin"/><Relationship Id="rId50" Type="http://schemas.openxmlformats.org/officeDocument/2006/relationships/oleObject" Target="embeddings/oleObject12.bin"/><Relationship Id="rId5" Type="http://schemas.openxmlformats.org/officeDocument/2006/relationships/header" Target="header1.xml"/><Relationship Id="rId49" Type="http://schemas.openxmlformats.org/officeDocument/2006/relationships/image" Target="media/image23.jpeg"/><Relationship Id="rId48" Type="http://schemas.openxmlformats.org/officeDocument/2006/relationships/image" Target="media/image22.png"/><Relationship Id="rId47" Type="http://schemas.openxmlformats.org/officeDocument/2006/relationships/image" Target="media/image21.emf"/><Relationship Id="rId46" Type="http://schemas.openxmlformats.org/officeDocument/2006/relationships/oleObject" Target="embeddings/oleObject11.bin"/><Relationship Id="rId45" Type="http://schemas.openxmlformats.org/officeDocument/2006/relationships/image" Target="media/image20.emf"/><Relationship Id="rId44" Type="http://schemas.openxmlformats.org/officeDocument/2006/relationships/oleObject" Target="embeddings/oleObject10.bin"/><Relationship Id="rId43" Type="http://schemas.openxmlformats.org/officeDocument/2006/relationships/image" Target="media/image19.emf"/><Relationship Id="rId42" Type="http://schemas.openxmlformats.org/officeDocument/2006/relationships/oleObject" Target="embeddings/oleObject9.bin"/><Relationship Id="rId41" Type="http://schemas.openxmlformats.org/officeDocument/2006/relationships/image" Target="media/image18.png"/><Relationship Id="rId40" Type="http://schemas.openxmlformats.org/officeDocument/2006/relationships/image" Target="media/image17.emf"/><Relationship Id="rId4" Type="http://schemas.openxmlformats.org/officeDocument/2006/relationships/endnotes" Target="endnotes.xml"/><Relationship Id="rId39" Type="http://schemas.openxmlformats.org/officeDocument/2006/relationships/oleObject" Target="embeddings/oleObject8.bin"/><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wmf"/><Relationship Id="rId35" Type="http://schemas.openxmlformats.org/officeDocument/2006/relationships/oleObject" Target="embeddings/oleObject7.bin"/><Relationship Id="rId34" Type="http://schemas.openxmlformats.org/officeDocument/2006/relationships/image" Target="media/image13.wmf"/><Relationship Id="rId33" Type="http://schemas.openxmlformats.org/officeDocument/2006/relationships/oleObject" Target="embeddings/oleObject6.bin"/><Relationship Id="rId32" Type="http://schemas.openxmlformats.org/officeDocument/2006/relationships/image" Target="media/image12.wmf"/><Relationship Id="rId31" Type="http://schemas.openxmlformats.org/officeDocument/2006/relationships/oleObject" Target="embeddings/oleObject5.bin"/><Relationship Id="rId30" Type="http://schemas.openxmlformats.org/officeDocument/2006/relationships/image" Target="media/image11.wmf"/><Relationship Id="rId3" Type="http://schemas.openxmlformats.org/officeDocument/2006/relationships/footnotes" Target="footnotes.xml"/><Relationship Id="rId29" Type="http://schemas.openxmlformats.org/officeDocument/2006/relationships/oleObject" Target="embeddings/oleObject4.bin"/><Relationship Id="rId28" Type="http://schemas.openxmlformats.org/officeDocument/2006/relationships/image" Target="media/image10.wmf"/><Relationship Id="rId27" Type="http://schemas.openxmlformats.org/officeDocument/2006/relationships/image" Target="media/image9.wmf"/><Relationship Id="rId26" Type="http://schemas.openxmlformats.org/officeDocument/2006/relationships/oleObject" Target="embeddings/oleObject3.bin"/><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emf"/><Relationship Id="rId21" Type="http://schemas.openxmlformats.org/officeDocument/2006/relationships/oleObject" Target="embeddings/oleObject2.bin"/><Relationship Id="rId20" Type="http://schemas.openxmlformats.org/officeDocument/2006/relationships/image" Target="media/image4.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77"/>
    <customShpInfo spid="_x0000_s1080"/>
    <customShpInfo spid="_x0000_s1079"/>
    <customShpInfo spid="_x0000_s1081"/>
  </customShpExts>
</s:customData>
</file>

<file path=customXml/item2.xml><?xml version="1.0" encoding="utf-8"?>
<contractReview xmlns="http://schemas.wps.cn/vas-ai-hub/contract-review">
  <reviewItems xmlns="http://schemas.wps.cn/vas-ai-hub/contract-review">
    <reviewItem xmlns="http://schemas.wps.cn/vas-ai-hub/contract-review">
      <errorID xmlns="http://schemas.wps.cn/vas-ai-hub/contract-review">a4efba57-3b1e-4f9a-a0a6-9e694a7bc043</errorID>
      <errorWord xmlns="http://schemas.wps.cn/vas-ai-hub/contract-review">》（试行）</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（试行）》</item>
      </candidateList>
      <explain xmlns="http://schemas.wps.cn/vas-ai-hub/contract-review"/>
      <paraID xmlns="http://schemas.wps.cn/vas-ai-hub/contract-review">539A16C5</paraID>
      <start xmlns="http://schemas.wps.cn/vas-ai-hub/contract-review">27</start>
      <end xmlns="http://schemas.wps.cn/vas-ai-hub/contract-review">32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0e7511b0-aa9b-4335-83eb-61874b01a702</errorID>
      <errorWord xmlns="http://schemas.wps.cn/vas-ai-hub/contract-review">上线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上限</item>
      </candidateList>
      <explain xmlns="http://schemas.wps.cn/vas-ai-hub/contract-review"/>
      <paraID xmlns="http://schemas.wps.cn/vas-ai-hub/contract-review">73D179E0</paraID>
      <start xmlns="http://schemas.wps.cn/vas-ai-hub/contract-review">41</start>
      <end xmlns="http://schemas.wps.cn/vas-ai-hub/contract-review">43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7b1bfeba-7360-4ff9-9d38-92c035f53022</errorID>
      <errorWord xmlns="http://schemas.wps.cn/vas-ai-hub/contract-review">城乡结合部</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城乡接合部</item>
      </candidateList>
      <explain xmlns="http://schemas.wps.cn/vas-ai-hub/contract-review"/>
      <paraID xmlns="http://schemas.wps.cn/vas-ai-hub/contract-review">2F798E1A</paraID>
      <start xmlns="http://schemas.wps.cn/vas-ai-hub/contract-review">103</start>
      <end xmlns="http://schemas.wps.cn/vas-ai-hub/contract-review">108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5f8a237e-74ec-41a4-ba8e-9cc025968dc3</errorID>
      <errorWord xmlns="http://schemas.wps.cn/vas-ai-hub/contract-review">扩建建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扩建</item>
      </candidateList>
      <explain xmlns="http://schemas.wps.cn/vas-ai-hub/contract-review"/>
      <paraID xmlns="http://schemas.wps.cn/vas-ai-hub/contract-review">53B8E592</paraID>
      <start xmlns="http://schemas.wps.cn/vas-ai-hub/contract-review">9</start>
      <end xmlns="http://schemas.wps.cn/vas-ai-hub/contract-review">11</end>
      <status xmlns="http://schemas.wps.cn/vas-ai-hub/contract-review">modified</status>
      <modifiedWord xmlns="http://schemas.wps.cn/vas-ai-hub/contract-review">扩建</modifiedWord>
      <trackRevisions xmlns="http://schemas.wps.cn/vas-ai-hub/contract-review">false</trackRevisions>
    </reviewItem>
    <reviewItem xmlns="http://schemas.wps.cn/vas-ai-hub/contract-review">
      <errorID xmlns="http://schemas.wps.cn/vas-ai-hub/contract-review">77868275-4a57-4a84-92aa-5e4e8d44b042</errorID>
      <errorWord xmlns="http://schemas.wps.cn/vas-ai-hub/contract-review">三线一单</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‘三线一单’</item>
      </candidateList>
      <explain xmlns="http://schemas.wps.cn/vas-ai-hub/contract-review">注意检查当前固定表述标点是否使用规范。</explain>
      <paraID xmlns="http://schemas.wps.cn/vas-ai-hub/contract-review">16A33A58</paraID>
      <start xmlns="http://schemas.wps.cn/vas-ai-hub/contract-review">73</start>
      <end xmlns="http://schemas.wps.cn/vas-ai-hub/contract-review">77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37534bf3-941e-41ed-8066-1cb695bbe1eb</errorID>
      <errorWord xmlns="http://schemas.wps.cn/vas-ai-hub/contract-review">城乡结合部</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城乡接合部</item>
      </candidateList>
      <explain xmlns="http://schemas.wps.cn/vas-ai-hub/contract-review"/>
      <paraID xmlns="http://schemas.wps.cn/vas-ai-hub/contract-review">3F752495</paraID>
      <start xmlns="http://schemas.wps.cn/vas-ai-hub/contract-review">369</start>
      <end xmlns="http://schemas.wps.cn/vas-ai-hub/contract-review">374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69ad2e2c-b4db-4aa5-9241-c68f443ebf62</errorID>
      <errorWord xmlns="http://schemas.wps.cn/vas-ai-hub/contract-review">或</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或可</item>
      </candidateList>
      <explain xmlns="http://schemas.wps.cn/vas-ai-hub/contract-review"/>
      <paraID xmlns="http://schemas.wps.cn/vas-ai-hub/contract-review">3F752495</paraID>
      <start xmlns="http://schemas.wps.cn/vas-ai-hub/contract-review">387</start>
      <end xmlns="http://schemas.wps.cn/vas-ai-hub/contract-review">388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594c1f21-3816-4a7a-874f-d0d9cbce502e</errorID>
      <errorWord xmlns="http://schemas.wps.cn/vas-ai-hub/contract-review">住房城乡建设厅</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住房和城乡建设厅</item>
      </candidateList>
      <explain xmlns="http://schemas.wps.cn/vas-ai-hub/contract-review">词汇“住房和城乡建设厅”在特定场景下为固定表述形式，请确认此处的“住房城乡建设厅”是否存在不当。</explain>
      <paraID xmlns="http://schemas.wps.cn/vas-ai-hub/contract-review">6827B920</paraID>
      <start xmlns="http://schemas.wps.cn/vas-ai-hub/contract-review">263</start>
      <end xmlns="http://schemas.wps.cn/vas-ai-hub/contract-review">270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e117ef85-7b4d-4a67-82c2-9bfbe27f8854</errorID>
      <errorWord xmlns="http://schemas.wps.cn/vas-ai-hub/contract-review">县（市）区</errorWord>
      <group xmlns="http://schemas.wps.cn/vas-ai-hub/contract-review">L1_Political</group>
      <groupName xmlns="http://schemas.wps.cn/vas-ai-hub/contract-review">政治性问题</groupName>
      <ability xmlns="http://schemas.wps.cn/vas-ai-hub/contract-review">L2_Unpolitical</ability>
      <abilityName xmlns="http://schemas.wps.cn/vas-ai-hub/contract-review">政治敏感错误</abilityName>
      <candidateList xmlns="http://schemas.wps.cn/vas-ai-hub/contract-review">
        <item xmlns="http://schemas.wps.cn/vas-ai-hub/contract-review">县（市、区）</item>
      </candidateList>
      <explain xmlns="http://schemas.wps.cn/vas-ai-hub/contract-review"/>
      <paraID xmlns="http://schemas.wps.cn/vas-ai-hub/contract-review">4222CA4E</paraID>
      <start xmlns="http://schemas.wps.cn/vas-ai-hub/contract-review">237</start>
      <end xmlns="http://schemas.wps.cn/vas-ai-hub/contract-review">242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1f7d0f38-3b8d-4ab7-bc3e-2a22a74d5bb6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6CA2AB03</paraID>
      <start xmlns="http://schemas.wps.cn/vas-ai-hub/contract-review">53</start>
      <end xmlns="http://schemas.wps.cn/vas-ai-hub/contract-review">54</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f1abf5a6-4963-4a5d-9c69-4c2276ed5dde</errorID>
      <errorWord xmlns="http://schemas.wps.cn/vas-ai-hub/contract-review">交有</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交由</item>
      </candidateList>
      <explain xmlns="http://schemas.wps.cn/vas-ai-hub/contract-review"/>
      <paraID xmlns="http://schemas.wps.cn/vas-ai-hub/contract-review">180788B2</paraID>
      <start xmlns="http://schemas.wps.cn/vas-ai-hub/contract-review">73</start>
      <end xmlns="http://schemas.wps.cn/vas-ai-hub/contract-review">75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9a99883c-eca0-4231-a612-9925f21bbdf2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 2F3A6BB</paraID>
      <start xmlns="http://schemas.wps.cn/vas-ai-hub/contract-review">45</start>
      <end xmlns="http://schemas.wps.cn/vas-ai-hub/contract-review">46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d7757bb4-2c6c-4d09-877d-26b0f219807a</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 2F3A6BB</paraID>
      <start xmlns="http://schemas.wps.cn/vas-ai-hub/contract-review">50</start>
      <end xmlns="http://schemas.wps.cn/vas-ai-hub/contract-review">51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3d0b28a9-f37b-4a2b-a060-ac0668420981</errorID>
      <errorWord xmlns="http://schemas.wps.cn/vas-ai-hub/contract-review">城乡结合部</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城乡接合部</item>
      </candidateList>
      <explain xmlns="http://schemas.wps.cn/vas-ai-hub/contract-review"/>
      <paraID xmlns="http://schemas.wps.cn/vas-ai-hub/contract-review"> 2F3A6BB</paraID>
      <start xmlns="http://schemas.wps.cn/vas-ai-hub/contract-review">68</start>
      <end xmlns="http://schemas.wps.cn/vas-ai-hub/contract-review">73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8cf6a20b-2f45-4ed6-aeba-df56f07e8a31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 2F3A6BB</paraID>
      <start xmlns="http://schemas.wps.cn/vas-ai-hub/contract-review">90</start>
      <end xmlns="http://schemas.wps.cn/vas-ai-hub/contract-review">91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12327938-cbe8-4403-89cc-4e51e68c4c4b</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 2F3A6BB</paraID>
      <start xmlns="http://schemas.wps.cn/vas-ai-hub/contract-review">102</start>
      <end xmlns="http://schemas.wps.cn/vas-ai-hub/contract-review">103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204f446b-1d46-4b12-a25e-4190dcc2d511</errorID>
      <errorWord xmlns="http://schemas.wps.cn/vas-ai-hub/contract-review">炉窑</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窑炉</item>
      </candidateList>
      <explain xmlns="http://schemas.wps.cn/vas-ai-hub/contract-review"/>
      <paraID xmlns="http://schemas.wps.cn/vas-ai-hub/contract-review"> 2F3A6BB</paraID>
      <start xmlns="http://schemas.wps.cn/vas-ai-hub/contract-review">120</start>
      <end xmlns="http://schemas.wps.cn/vas-ai-hub/contract-review">122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bec6d00e-dd03-42da-879b-8f0c05fa281e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 2F3A6BB</paraID>
      <start xmlns="http://schemas.wps.cn/vas-ai-hub/contract-review">129</start>
      <end xmlns="http://schemas.wps.cn/vas-ai-hub/contract-review">130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9d5e81e8-c27b-486e-a7e0-2488bb01e2d2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 2F3A6BB</paraID>
      <start xmlns="http://schemas.wps.cn/vas-ai-hub/contract-review">133</start>
      <end xmlns="http://schemas.wps.cn/vas-ai-hub/contract-review">134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55f919c9-9f29-40d0-b965-a1019443bdb8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 2F3A6BB</paraID>
      <start xmlns="http://schemas.wps.cn/vas-ai-hub/contract-review">134</start>
      <end xmlns="http://schemas.wps.cn/vas-ai-hub/contract-review">135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f1a3b537-706d-40ad-ab2e-aa139a471f72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 2F3A6BB</paraID>
      <start xmlns="http://schemas.wps.cn/vas-ai-hub/contract-review">138</start>
      <end xmlns="http://schemas.wps.cn/vas-ai-hub/contract-review">139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a26eeede-fea6-4e6c-925a-a2378bd755a7</errorID>
      <errorWord xmlns="http://schemas.wps.cn/vas-ai-hub/contract-review">法律、法规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法律法规</item>
      </candidateList>
      <explain xmlns="http://schemas.wps.cn/vas-ai-hub/contract-review"/>
      <paraID xmlns="http://schemas.wps.cn/vas-ai-hub/contract-review">2BD6E970</paraID>
      <start xmlns="http://schemas.wps.cn/vas-ai-hub/contract-review">102</start>
      <end xmlns="http://schemas.wps.cn/vas-ai-hub/contract-review">107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631d2fa8-f547-4f7e-b68d-adc966d58da3</errorID>
      <errorWord xmlns="http://schemas.wps.cn/vas-ai-hub/contract-review">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可以</item>
      </candidateList>
      <explain xmlns="http://schemas.wps.cn/vas-ai-hub/contract-review">〈口〉〈形〉❶好；不坏；过得去：这篇文章写得还～。❷厉害：你这张嘴真～｜天气实在热得～。</explain>
      <paraID xmlns="http://schemas.wps.cn/vas-ai-hub/contract-review">10C54CB9</paraID>
      <start xmlns="http://schemas.wps.cn/vas-ai-hub/contract-review">43</start>
      <end xmlns="http://schemas.wps.cn/vas-ai-hub/contract-review">44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1991799d-a1a8-4b18-a8d9-da1d213fce0e</errorID>
      <errorWord xmlns="http://schemas.wps.cn/vas-ai-hub/contract-review">由为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由</item>
      </candidateList>
      <explain xmlns="http://schemas.wps.cn/vas-ai-hub/contract-review">❶缘由：因～｜事～｜理～。❷〈介〉由于▲：咎～自取｜～感冒引起了肺炎。❸经过：必～之路。❹〈介〉表示经由：～南门入场。❺〈动〉顺随；听从：事不～己｜～着性子。❻〈介〉归（某人去做）：准备工作～我负责｜队长～你担任。❼〈介〉表示凭借：～此可知｜人体是～各种细胞组成的。❽〈介〉表示起点：～表及里｜～北京出发。❾（Yóu）〈名〉姓。</explain>
      <paraID xmlns="http://schemas.wps.cn/vas-ai-hub/contract-review">457EA4CC</paraID>
      <start xmlns="http://schemas.wps.cn/vas-ai-hub/contract-review">366</start>
      <end xmlns="http://schemas.wps.cn/vas-ai-hub/contract-review">367</end>
      <status xmlns="http://schemas.wps.cn/vas-ai-hub/contract-review">modified</status>
      <modifiedWord xmlns="http://schemas.wps.cn/vas-ai-hub/contract-review">由</modifiedWord>
      <trackRevisions xmlns="http://schemas.wps.cn/vas-ai-hub/contract-review">false</trackRevisions>
    </reviewItem>
    <reviewItem xmlns="http://schemas.wps.cn/vas-ai-hub/contract-review">
      <errorID xmlns="http://schemas.wps.cn/vas-ai-hub/contract-review">7d202a9e-1e2d-40b0-bc9f-2e5ddda5fde9</errorID>
      <errorWord xmlns="http://schemas.wps.cn/vas-ai-hub/contract-review">原有原有</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原有</item>
      </candidateList>
      <explain xmlns="http://schemas.wps.cn/vas-ai-hub/contract-review"/>
      <paraID xmlns="http://schemas.wps.cn/vas-ai-hub/contract-review">457EA4CC</paraID>
      <start xmlns="http://schemas.wps.cn/vas-ai-hub/contract-review">633</start>
      <end xmlns="http://schemas.wps.cn/vas-ai-hub/contract-review">635</end>
      <status xmlns="http://schemas.wps.cn/vas-ai-hub/contract-review">modified</status>
      <modifiedWord xmlns="http://schemas.wps.cn/vas-ai-hub/contract-review">原有</modifiedWord>
      <trackRevisions xmlns="http://schemas.wps.cn/vas-ai-hub/contract-review">false</trackRevisions>
    </reviewItem>
    <reviewItem xmlns="http://schemas.wps.cn/vas-ai-hub/contract-review">
      <errorID xmlns="http://schemas.wps.cn/vas-ai-hub/contract-review">4ced0eb6-a5d5-4f55-af42-9f79232936ab</errorID>
      <errorWord xmlns="http://schemas.wps.cn/vas-ai-hub/contract-review">做</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座</item>
      </candidateList>
      <explain xmlns="http://schemas.wps.cn/vas-ai-hub/contract-review"/>
      <paraID xmlns="http://schemas.wps.cn/vas-ai-hub/contract-review">7EDF2AB1</paraID>
      <start xmlns="http://schemas.wps.cn/vas-ai-hub/contract-review">23</start>
      <end xmlns="http://schemas.wps.cn/vas-ai-hub/contract-review">24</end>
      <status xmlns="http://schemas.wps.cn/vas-ai-hub/contract-review">modified</status>
      <modifiedWord xmlns="http://schemas.wps.cn/vas-ai-hub/contract-review">座</modifiedWord>
      <trackRevisions xmlns="http://schemas.wps.cn/vas-ai-hub/contract-review">false</trackRevisions>
    </reviewItem>
    <reviewItem xmlns="http://schemas.wps.cn/vas-ai-hub/contract-review">
      <errorID xmlns="http://schemas.wps.cn/vas-ai-hub/contract-review">dbb9afcc-61cb-48e5-b8e8-da21e990decf</errorID>
      <errorWord xmlns="http://schemas.wps.cn/vas-ai-hub/contract-review">台</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座</item>
      </candidateList>
      <explain xmlns="http://schemas.wps.cn/vas-ai-hub/contract-review">请检查“台”是否为量词使用错误，建议修改为“座”。</explain>
      <paraID xmlns="http://schemas.wps.cn/vas-ai-hub/contract-review">7EDF2AB1</paraID>
      <start xmlns="http://schemas.wps.cn/vas-ai-hub/contract-review">32</start>
      <end xmlns="http://schemas.wps.cn/vas-ai-hub/contract-review">33</end>
      <status xmlns="http://schemas.wps.cn/vas-ai-hub/contract-review">modified</status>
      <modifiedWord xmlns="http://schemas.wps.cn/vas-ai-hub/contract-review">座</modifiedWord>
      <trackRevisions xmlns="http://schemas.wps.cn/vas-ai-hub/contract-review">false</trackRevisions>
    </reviewItem>
    <reviewItem xmlns="http://schemas.wps.cn/vas-ai-hub/contract-review">
      <errorID xmlns="http://schemas.wps.cn/vas-ai-hub/contract-review">74b47972-0737-4ece-83a0-8caffe123dae</errorID>
      <errorWord xmlns="http://schemas.wps.cn/vas-ai-hub/contract-review">的的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的</item>
      </candidateList>
      <explain xmlns="http://schemas.wps.cn/vas-ai-hub/contract-review">置于形容词、名词后，用于修饰事物的形态。</explain>
      <paraID xmlns="http://schemas.wps.cn/vas-ai-hub/contract-review">7EDF2AB1</paraID>
      <start xmlns="http://schemas.wps.cn/vas-ai-hub/contract-review">84</start>
      <end xmlns="http://schemas.wps.cn/vas-ai-hub/contract-review">85</end>
      <status xmlns="http://schemas.wps.cn/vas-ai-hub/contract-review">modified</status>
      <modifiedWord xmlns="http://schemas.wps.cn/vas-ai-hub/contract-review">的</modifiedWord>
      <trackRevisions xmlns="http://schemas.wps.cn/vas-ai-hub/contract-review">false</trackRevisions>
    </reviewItem>
    <reviewItem xmlns="http://schemas.wps.cn/vas-ai-hub/contract-review">
      <errorID xmlns="http://schemas.wps.cn/vas-ai-hub/contract-review">79cda637-5635-4a8c-99d6-278e85538e5a</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7EDF2AB1</paraID>
      <start xmlns="http://schemas.wps.cn/vas-ai-hub/contract-review">274</start>
      <end xmlns="http://schemas.wps.cn/vas-ai-hub/contract-review">275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491e561c-2509-40f9-85e7-adbf0265ad02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2D7B1BFB</paraID>
      <start xmlns="http://schemas.wps.cn/vas-ai-hub/contract-review">204</start>
      <end xmlns="http://schemas.wps.cn/vas-ai-hub/contract-review">205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a7e470c9-e3b2-4a9e-b36c-d11a92e42811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3589232B</paraID>
      <start xmlns="http://schemas.wps.cn/vas-ai-hub/contract-review">63</start>
      <end xmlns="http://schemas.wps.cn/vas-ai-hub/contract-review">64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dc229e01-eb9f-4014-97cc-94408f368aef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3589232B</paraID>
      <start xmlns="http://schemas.wps.cn/vas-ai-hub/contract-review">120</start>
      <end xmlns="http://schemas.wps.cn/vas-ai-hub/contract-review">121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915eaf45-2c97-4b5d-9e93-fd9280838441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3589232B</paraID>
      <start xmlns="http://schemas.wps.cn/vas-ai-hub/contract-review">250</start>
      <end xmlns="http://schemas.wps.cn/vas-ai-hub/contract-review">251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34c7b5f8-57c1-4d5e-9f1c-eb92d285e511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26D151EF</paraID>
      <start xmlns="http://schemas.wps.cn/vas-ai-hub/contract-review">61</start>
      <end xmlns="http://schemas.wps.cn/vas-ai-hub/contract-review">62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09e34f43-f011-4c33-8114-43871ce31947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2E89A8D8</paraID>
      <start xmlns="http://schemas.wps.cn/vas-ai-hub/contract-review">167</start>
      <end xmlns="http://schemas.wps.cn/vas-ai-hub/contract-review">168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cf25bb2b-d81f-4dd2-99c6-aaeff06384a0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78BA430D</paraID>
      <start xmlns="http://schemas.wps.cn/vas-ai-hub/contract-review">10</start>
      <end xmlns="http://schemas.wps.cn/vas-ai-hub/contract-review">11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780db9b1-a041-4e8e-b713-4046d9d09c1a</errorID>
      <errorWord xmlns="http://schemas.wps.cn/vas-ai-hub/contract-review">监测报告</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检测报告</item>
      </candidateList>
      <explain xmlns="http://schemas.wps.cn/vas-ai-hub/contract-review"/>
      <paraID xmlns="http://schemas.wps.cn/vas-ai-hub/contract-review">78BA430D</paraID>
      <start xmlns="http://schemas.wps.cn/vas-ai-hub/contract-review">43</start>
      <end xmlns="http://schemas.wps.cn/vas-ai-hub/contract-review">47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710a004b-4035-43b3-b845-34cc2022ed24</errorID>
      <errorWord xmlns="http://schemas.wps.cn/vas-ai-hub/contract-review">检测点</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监测点</item>
      </candidateList>
      <explain xmlns="http://schemas.wps.cn/vas-ai-hub/contract-review"/>
      <paraID xmlns="http://schemas.wps.cn/vas-ai-hub/contract-review">4BAB4A28</paraID>
      <start xmlns="http://schemas.wps.cn/vas-ai-hub/contract-review">0</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0d69f741-2ad9-42d8-b370-d4ae0bc92927</errorID>
      <errorWord xmlns="http://schemas.wps.cn/vas-ai-hub/contract-review">检测点</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监测点</item>
      </candidateList>
      <explain xmlns="http://schemas.wps.cn/vas-ai-hub/contract-review"/>
      <paraID xmlns="http://schemas.wps.cn/vas-ai-hub/contract-review">4AF385E5</paraID>
      <start xmlns="http://schemas.wps.cn/vas-ai-hub/contract-review">0</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7c2fd463-0df6-45b4-be53-a2b3042e37c6</errorID>
      <errorWord xmlns="http://schemas.wps.cn/vas-ai-hub/contract-review">检测点</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监测点</item>
      </candidateList>
      <explain xmlns="http://schemas.wps.cn/vas-ai-hub/contract-review"/>
      <paraID xmlns="http://schemas.wps.cn/vas-ai-hub/contract-review">62F32B33</paraID>
      <start xmlns="http://schemas.wps.cn/vas-ai-hub/contract-review">0</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0820411f-1821-4314-87f1-a78d9400381e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3A379ABF</paraID>
      <start xmlns="http://schemas.wps.cn/vas-ai-hub/contract-review">13</start>
      <end xmlns="http://schemas.wps.cn/vas-ai-hub/contract-review">14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29ca593c-54da-488a-a7a7-8198eed78dea</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1F3A5F92</paraID>
      <start xmlns="http://schemas.wps.cn/vas-ai-hub/contract-review">5</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e4958fc4-8d3c-421e-9ce5-27b0e152ba18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1F3A5F92</paraID>
      <start xmlns="http://schemas.wps.cn/vas-ai-hub/contract-review">7</start>
      <end xmlns="http://schemas.wps.cn/vas-ai-hub/contract-review">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ad82716f-e6a8-4ed7-9273-6b5d3df497fb</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5D1A5D75</paraID>
      <start xmlns="http://schemas.wps.cn/vas-ai-hub/contract-review">5</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fda5908e-866a-4497-a919-8e9684f0cbb2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5D1A5D75</paraID>
      <start xmlns="http://schemas.wps.cn/vas-ai-hub/contract-review">7</start>
      <end xmlns="http://schemas.wps.cn/vas-ai-hub/contract-review">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aa0c9159-52c5-4bd3-98e5-31217e5c1957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2BC07CEC</paraID>
      <start xmlns="http://schemas.wps.cn/vas-ai-hub/contract-review">5</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c20f6425-ceba-4eff-a52e-9b1fbeb6aec1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2BC07CEC</paraID>
      <start xmlns="http://schemas.wps.cn/vas-ai-hub/contract-review">7</start>
      <end xmlns="http://schemas.wps.cn/vas-ai-hub/contract-review">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96f0bb76-dc1b-4f46-9535-5ee20c6731ef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63003F5E</paraID>
      <start xmlns="http://schemas.wps.cn/vas-ai-hub/contract-review">5</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f4dcfeac-bf93-4c93-b1e4-2db328e1d2cd</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63003F5E</paraID>
      <start xmlns="http://schemas.wps.cn/vas-ai-hub/contract-review">7</start>
      <end xmlns="http://schemas.wps.cn/vas-ai-hub/contract-review">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cbc19f1c-00e0-4e89-9432-ead5087bc755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6A8286CA</paraID>
      <start xmlns="http://schemas.wps.cn/vas-ai-hub/contract-review">16</start>
      <end xmlns="http://schemas.wps.cn/vas-ai-hub/contract-review">17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a445aa16-2970-47cc-b75f-07e6b8ceaa7e</errorID>
      <errorWord xmlns="http://schemas.wps.cn/vas-ai-hub/contract-review">年</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年度</item>
      </candidateList>
      <explain xmlns="http://schemas.wps.cn/vas-ai-hub/contract-review"/>
      <paraID xmlns="http://schemas.wps.cn/vas-ai-hub/contract-review">790E7C96</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22fa02a0-be35-4368-8968-7c27319f4816</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7C2A7646</paraID>
      <start xmlns="http://schemas.wps.cn/vas-ai-hub/contract-review">0</start>
      <end xmlns="http://schemas.wps.cn/vas-ai-hub/contract-review">2</end>
      <status xmlns="http://schemas.wps.cn/vas-ai-hub/contract-review">modified</status>
      <modifiedWord xmlns="http://schemas.wps.cn/vas-ai-hub/contract-review">1.</modifiedWord>
      <trackRevisions xmlns="http://schemas.wps.cn/vas-ai-hub/contract-review">false</trackRevisions>
    </reviewItem>
    <reviewItem xmlns="http://schemas.wps.cn/vas-ai-hub/contract-review">
      <errorID xmlns="http://schemas.wps.cn/vas-ai-hub/contract-review">0f445981-81b6-40c3-9403-00dc677c5d2b</errorID>
      <errorWord xmlns="http://schemas.wps.cn/vas-ai-hub/contract-review">监测方法</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检测方法</item>
      </candidateList>
      <explain xmlns="http://schemas.wps.cn/vas-ai-hub/contract-review"/>
      <paraID xmlns="http://schemas.wps.cn/vas-ai-hub/contract-review">74E3B432</paraID>
      <start xmlns="http://schemas.wps.cn/vas-ai-hub/contract-review">3</start>
      <end xmlns="http://schemas.wps.cn/vas-ai-hub/contract-review">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aaad2777-d24e-4b0e-8cef-684778b8f38c</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4D622C8A</paraID>
      <start xmlns="http://schemas.wps.cn/vas-ai-hub/contract-review">0</start>
      <end xmlns="http://schemas.wps.cn/vas-ai-hub/contract-review">2</end>
      <status xmlns="http://schemas.wps.cn/vas-ai-hub/contract-review">modified</status>
      <modifiedWord xmlns="http://schemas.wps.cn/vas-ai-hub/contract-review">2.</modifiedWord>
      <trackRevisions xmlns="http://schemas.wps.cn/vas-ai-hub/contract-review">false</trackRevisions>
    </reviewItem>
    <reviewItem xmlns="http://schemas.wps.cn/vas-ai-hub/contract-review">
      <errorID xmlns="http://schemas.wps.cn/vas-ai-hub/contract-review">309d3558-e000-45d9-a5f0-ac843fc8627a</errorID>
      <errorWord xmlns="http://schemas.wps.cn/vas-ai-hub/contract-review">标</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标准</item>
      </candidateList>
      <explain xmlns="http://schemas.wps.cn/vas-ai-hub/contract-review">❶〈名〉衡量事物的准则：技术～｜实践是检验真理的唯一～。❷〈形〉本身合于准则，可供同类事物比较核对的：～音｜～时｜她的发音很～。</explain>
      <paraID xmlns="http://schemas.wps.cn/vas-ai-hub/contract-review">5FC18891</paraID>
      <start xmlns="http://schemas.wps.cn/vas-ai-hub/contract-review">15</start>
      <end xmlns="http://schemas.wps.cn/vas-ai-hub/contract-review">15</end>
      <status xmlns="http://schemas.wps.cn/vas-ai-hub/contract-review">modified</status>
      <modifiedWord xmlns="http://schemas.wps.cn/vas-ai-hub/contract-review"/>
      <trackRevisions xmlns="http://schemas.wps.cn/vas-ai-hub/contract-review">false</trackRevisions>
    </reviewItem>
    <reviewItem xmlns="http://schemas.wps.cn/vas-ai-hub/contract-review">
      <errorID xmlns="http://schemas.wps.cn/vas-ai-hub/contract-review">3914121c-4d84-4fcc-bff8-5e33f9d0d9c4</errorID>
      <errorWord xmlns="http://schemas.wps.cn/vas-ai-hub/contract-review">中</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中第</item>
      </candidateList>
      <explain xmlns="http://schemas.wps.cn/vas-ai-hub/contract-review"/>
      <paraID xmlns="http://schemas.wps.cn/vas-ai-hub/contract-review">5FC18891</paraID>
      <start xmlns="http://schemas.wps.cn/vas-ai-hub/contract-review">39</start>
      <end xmlns="http://schemas.wps.cn/vas-ai-hub/contract-review">40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1803d648-ef20-4ac2-8933-e7fa68615e5c</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1D6F58F1</paraID>
      <start xmlns="http://schemas.wps.cn/vas-ai-hub/contract-review">0</start>
      <end xmlns="http://schemas.wps.cn/vas-ai-hub/contract-review">2</end>
      <status xmlns="http://schemas.wps.cn/vas-ai-hub/contract-review">modified</status>
      <modifiedWord xmlns="http://schemas.wps.cn/vas-ai-hub/contract-review">3.</modifiedWord>
      <trackRevisions xmlns="http://schemas.wps.cn/vas-ai-hub/contract-review">false</trackRevisions>
    </reviewItem>
    <reviewItem xmlns="http://schemas.wps.cn/vas-ai-hub/contract-review">
      <errorID xmlns="http://schemas.wps.cn/vas-ai-hub/contract-review">8b7b39be-11b6-4ee8-b580-3d42893fc41f</errorID>
      <errorWord xmlns="http://schemas.wps.cn/vas-ai-hub/contract-review">》（试行）</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（试行）》</item>
      </candidateList>
      <explain xmlns="http://schemas.wps.cn/vas-ai-hub/contract-review"/>
      <paraID xmlns="http://schemas.wps.cn/vas-ai-hub/contract-review"> 2D69FF4</paraID>
      <start xmlns="http://schemas.wps.cn/vas-ai-hub/contract-review">27</start>
      <end xmlns="http://schemas.wps.cn/vas-ai-hub/contract-review">32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ca90345a-4f11-4f97-8779-e95a6bd815b1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2F1B3996</paraID>
      <start xmlns="http://schemas.wps.cn/vas-ai-hub/contract-review">2</start>
      <end xmlns="http://schemas.wps.cn/vas-ai-hub/contract-review">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24ce94f3-3a65-456c-a65c-e65ae7becc96</errorID>
      <errorWord xmlns="http://schemas.wps.cn/vas-ai-hub/contract-review">三本帐</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三本账</item>
      </candidateList>
      <explain xmlns="http://schemas.wps.cn/vas-ai-hub/contract-review">词汇[三本帐]为不规范表述或旧称，其规范书面表述为[三本账]。</explain>
      <paraID xmlns="http://schemas.wps.cn/vas-ai-hub/contract-review">2EF08213</paraID>
      <start xmlns="http://schemas.wps.cn/vas-ai-hub/contract-review">13</start>
      <end xmlns="http://schemas.wps.cn/vas-ai-hub/contract-review">16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ebe88e23-46bf-419c-9187-5aeb466bf16b</errorID>
      <errorWord xmlns="http://schemas.wps.cn/vas-ai-hub/contract-review">项</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项目</item>
      </candidateList>
      <explain xmlns="http://schemas.wps.cn/vas-ai-hub/contract-review">〈名〉事物分成的门类：服务～｜体育～｜建设～。</explain>
      <paraID xmlns="http://schemas.wps.cn/vas-ai-hub/contract-review">4C796D7E</paraID>
      <start xmlns="http://schemas.wps.cn/vas-ai-hub/contract-review">64</start>
      <end xmlns="http://schemas.wps.cn/vas-ai-hub/contract-review">66</end>
      <status xmlns="http://schemas.wps.cn/vas-ai-hub/contract-review">modified</status>
      <modifiedWord xmlns="http://schemas.wps.cn/vas-ai-hub/contract-review">项目</modifiedWord>
      <trackRevisions xmlns="http://schemas.wps.cn/vas-ai-hub/contract-review">false</trackRevisions>
    </reviewItem>
    <reviewItem xmlns="http://schemas.wps.cn/vas-ai-hub/contract-review">
      <errorID xmlns="http://schemas.wps.cn/vas-ai-hub/contract-review">b5dc4c96-3edc-4ebc-9364-2562ca3de38c</errorID>
      <errorWord xmlns="http://schemas.wps.cn/vas-ai-hub/contract-review">的颗粒物</errorWord>
      <group xmlns="http://schemas.wps.cn/vas-ai-hub/contract-review">L1_Knowledge</group>
      <groupName xmlns="http://schemas.wps.cn/vas-ai-hub/contract-review">知识性问题</groupName>
      <ability xmlns="http://schemas.wps.cn/vas-ai-hub/contract-review">L2_Term</ability>
      <abilityName xmlns="http://schemas.wps.cn/vas-ai-hub/contract-review">专业术语</abilityName>
      <candidateList xmlns="http://schemas.wps.cn/vas-ai-hub/contract-review">
        <item xmlns="http://schemas.wps.cn/vas-ai-hub/contract-review">细颗粒物</item>
      </candidateList>
      <explain xmlns="http://schemas.wps.cn/vas-ai-hub/contract-review"/>
      <paraID xmlns="http://schemas.wps.cn/vas-ai-hub/contract-review">59BA7616</paraID>
      <start xmlns="http://schemas.wps.cn/vas-ai-hub/contract-review">34</start>
      <end xmlns="http://schemas.wps.cn/vas-ai-hub/contract-review">38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3fa06808-16ce-4109-9b8c-bc8b6971a204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59BA7616</paraID>
      <start xmlns="http://schemas.wps.cn/vas-ai-hub/contract-review">64</start>
      <end xmlns="http://schemas.wps.cn/vas-ai-hub/contract-review">65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e04c4200-21a0-4ea5-96a4-8c1e481e51f8</errorID>
      <errorWord xmlns="http://schemas.wps.cn/vas-ai-hub/contract-review">属</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属于</item>
      </candidateList>
      <explain xmlns="http://schemas.wps.cn/vas-ai-hub/contract-review"/>
      <paraID xmlns="http://schemas.wps.cn/vas-ai-hub/contract-review">2F2A75F3</paraID>
      <start xmlns="http://schemas.wps.cn/vas-ai-hub/contract-review">350</start>
      <end xmlns="http://schemas.wps.cn/vas-ai-hub/contract-review">351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a9fc53c9-b7fc-417a-8a36-57e972ba3d9d</errorID>
      <errorWord xmlns="http://schemas.wps.cn/vas-ai-hub/contract-review">需</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需要</item>
      </candidateList>
      <explain xmlns="http://schemas.wps.cn/vas-ai-hub/contract-review">❶〈动〉应该有或必须有：我们～一支强大的科学技术队伍。❷〈名〉对事物的欲望或要求：从群众的～出发。</explain>
      <paraID xmlns="http://schemas.wps.cn/vas-ai-hub/contract-review">19523F7A</paraID>
      <start xmlns="http://schemas.wps.cn/vas-ai-hub/contract-review">51</start>
      <end xmlns="http://schemas.wps.cn/vas-ai-hub/contract-review">52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01a61291-74ba-4f17-a66e-da448484b9f3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3FD6B7AD</paraID>
      <start xmlns="http://schemas.wps.cn/vas-ai-hub/contract-review">24</start>
      <end xmlns="http://schemas.wps.cn/vas-ai-hub/contract-review">25</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a780fa9a-2a1f-4664-b503-7bc632f0d7f0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4D5261EC</paraID>
      <start xmlns="http://schemas.wps.cn/vas-ai-hub/contract-review">22</start>
      <end xmlns="http://schemas.wps.cn/vas-ai-hub/contract-review">23</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671e5bd2-1c8b-41d9-a4a5-a9ad88e5c06b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2E365C5E</paraID>
      <start xmlns="http://schemas.wps.cn/vas-ai-hub/contract-review">17</start>
      <end xmlns="http://schemas.wps.cn/vas-ai-hub/contract-review">18</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3c2d9918-f22e-4153-89b0-06102aec9049</errorID>
      <errorWord xmlns="http://schemas.wps.cn/vas-ai-hub/contract-review">监测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检测</item>
      </candidateList>
      <explain xmlns="http://schemas.wps.cn/vas-ai-hub/contract-review"/>
      <paraID xmlns="http://schemas.wps.cn/vas-ai-hub/contract-review">19381D4A</paraID>
      <start xmlns="http://schemas.wps.cn/vas-ai-hub/contract-review">5</start>
      <end xmlns="http://schemas.wps.cn/vas-ai-hub/contract-review">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d7957c9b-c3b0-4ea7-a471-af7b9c6f87ab</errorID>
      <errorWord xmlns="http://schemas.wps.cn/vas-ai-hub/contract-review">则除尘器</errorWord>
      <group xmlns="http://schemas.wps.cn/vas-ai-hub/contract-review">L1_Knowledge</group>
      <groupName xmlns="http://schemas.wps.cn/vas-ai-hub/contract-review">知识性问题</groupName>
      <ability xmlns="http://schemas.wps.cn/vas-ai-hub/contract-review">L2_Term</ability>
      <abilityName xmlns="http://schemas.wps.cn/vas-ai-hub/contract-review">专业术语</abilityName>
      <candidateList xmlns="http://schemas.wps.cn/vas-ai-hub/contract-review">
        <item xmlns="http://schemas.wps.cn/vas-ai-hub/contract-review">电除尘器</item>
      </candidateList>
      <explain xmlns="http://schemas.wps.cn/vas-ai-hub/contract-review"/>
      <paraID xmlns="http://schemas.wps.cn/vas-ai-hub/contract-review"> BBE3AF0</paraID>
      <start xmlns="http://schemas.wps.cn/vas-ai-hub/contract-review">19</start>
      <end xmlns="http://schemas.wps.cn/vas-ai-hub/contract-review">23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daa2d895-4efa-4b20-b609-d4bac3cb72bb</errorID>
      <errorWord xmlns="http://schemas.wps.cn/vas-ai-hub/contract-review">的</errorWord>
      <group xmlns="http://schemas.wps.cn/vas-ai-hub/contract-review">L1_Word</group>
      <groupName xmlns="http://schemas.wps.cn/vas-ai-hub/contract-review">字词问题</groupName>
      <ability xmlns="http://schemas.wps.cn/vas-ai-hub/contract-review">L2_DDD</ability>
      <abilityName xmlns="http://schemas.wps.cn/vas-ai-hub/contract-review">的地得用法</abilityName>
      <candidateList xmlns="http://schemas.wps.cn/vas-ai-hub/contract-review">
        <item xmlns="http://schemas.wps.cn/vas-ai-hub/contract-review">地</item>
      </candidateList>
      <explain xmlns="http://schemas.wps.cn/vas-ai-hub/contract-review">“地”常用于连接修饰语与动词性中心语，表示动作的方式、状态或程度。</explain>
      <paraID xmlns="http://schemas.wps.cn/vas-ai-hub/contract-review">5B1755BE</paraID>
      <start xmlns="http://schemas.wps.cn/vas-ai-hub/contract-review">21</start>
      <end xmlns="http://schemas.wps.cn/vas-ai-hub/contract-review">22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3b6f4d3b-19f7-4ad0-8fbf-bba014223e56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3CB1C0ED</paraID>
      <start xmlns="http://schemas.wps.cn/vas-ai-hub/contract-review">40</start>
      <end xmlns="http://schemas.wps.cn/vas-ai-hub/contract-review">41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36c28363-1da8-4087-852a-920675adddff</errorID>
      <errorWord xmlns="http://schemas.wps.cn/vas-ai-hub/contract-review">交有</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交由</item>
      </candidateList>
      <explain xmlns="http://schemas.wps.cn/vas-ai-hub/contract-review">存在发音相同字词的误用。</explain>
      <paraID xmlns="http://schemas.wps.cn/vas-ai-hub/contract-review">17EE81D1</paraID>
      <start xmlns="http://schemas.wps.cn/vas-ai-hub/contract-review">108</start>
      <end xmlns="http://schemas.wps.cn/vas-ai-hub/contract-review">110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7def6311-a7f1-4a63-a03f-de58f71ad130</errorID>
      <errorWord xmlns="http://schemas.wps.cn/vas-ai-hub/contract-review">交有</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交由</item>
      </candidateList>
      <explain xmlns="http://schemas.wps.cn/vas-ai-hub/contract-review">存在发音相同字词的误用。</explain>
      <paraID xmlns="http://schemas.wps.cn/vas-ai-hub/contract-review">3ADEC04F</paraID>
      <start xmlns="http://schemas.wps.cn/vas-ai-hub/contract-review">26</start>
      <end xmlns="http://schemas.wps.cn/vas-ai-hub/contract-review">28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dc4fee91-025b-4dbb-bb3c-4117b5b598d4</errorID>
      <errorWord xmlns="http://schemas.wps.cn/vas-ai-hub/contract-review">位</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位在</item>
      </candidateList>
      <explain xmlns="http://schemas.wps.cn/vas-ai-hub/contract-review"/>
      <paraID xmlns="http://schemas.wps.cn/vas-ai-hub/contract-review">2AF44755</paraID>
      <start xmlns="http://schemas.wps.cn/vas-ai-hub/contract-review">3</start>
      <end xmlns="http://schemas.wps.cn/vas-ai-hub/contract-review">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35ba8a8d-f54e-4b0d-975d-51f2409ac632</errorID>
      <errorWord xmlns="http://schemas.wps.cn/vas-ai-hub/contract-review">有效地</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有效</item>
      </candidateList>
      <explain xmlns="http://schemas.wps.cn/vas-ai-hub/contract-review"/>
      <paraID xmlns="http://schemas.wps.cn/vas-ai-hub/contract-review">4AF0704B</paraID>
      <start xmlns="http://schemas.wps.cn/vas-ai-hub/contract-review">19</start>
      <end xmlns="http://schemas.wps.cn/vas-ai-hub/contract-review">22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784d4f33-8f1e-4046-96a7-df04b4100bb9</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685721DE</paraID>
      <start xmlns="http://schemas.wps.cn/vas-ai-hub/contract-review">108</start>
      <end xmlns="http://schemas.wps.cn/vas-ai-hub/contract-review">109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d1790470-d565-4523-b8af-16dc28f2c9c4</errorID>
      <errorWord xmlns="http://schemas.wps.cn/vas-ai-hub/contract-review">评级</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评价</item>
      </candidateList>
      <explain xmlns="http://schemas.wps.cn/vas-ai-hub/contract-review"/>
      <paraID xmlns="http://schemas.wps.cn/vas-ai-hub/contract-review">685721DE</paraID>
      <start xmlns="http://schemas.wps.cn/vas-ai-hub/contract-review">126</start>
      <end xmlns="http://schemas.wps.cn/vas-ai-hub/contract-review">128</end>
      <status xmlns="http://schemas.wps.cn/vas-ai-hub/contract-review">modified</status>
      <modifiedWord xmlns="http://schemas.wps.cn/vas-ai-hub/contract-review">评价</modifiedWord>
      <trackRevisions xmlns="http://schemas.wps.cn/vas-ai-hub/contract-review">false</trackRevisions>
    </reviewItem>
    <reviewItem xmlns="http://schemas.wps.cn/vas-ai-hub/contract-review">
      <errorID xmlns="http://schemas.wps.cn/vas-ai-hub/contract-review">9a55c93a-3532-4e97-a3ee-ea7ad4e185e5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685721DE</paraID>
      <start xmlns="http://schemas.wps.cn/vas-ai-hub/contract-review">201</start>
      <end xmlns="http://schemas.wps.cn/vas-ai-hub/contract-review">202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ef07a7f2-8ac4-45bd-8385-0247a5b44996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67584079</paraID>
      <start xmlns="http://schemas.wps.cn/vas-ai-hub/contract-review">99</start>
      <end xmlns="http://schemas.wps.cn/vas-ai-hub/contract-review">100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c06617cf-d140-4ee8-a67f-5e274675cb73</errorID>
      <errorWord xmlns="http://schemas.wps.cn/vas-ai-hub/contract-review">导入</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倒入</item>
      </candidateList>
      <explain xmlns="http://schemas.wps.cn/vas-ai-hub/contract-review"/>
      <paraID xmlns="http://schemas.wps.cn/vas-ai-hub/contract-review">387780FC</paraID>
      <start xmlns="http://schemas.wps.cn/vas-ai-hub/contract-review">117</start>
      <end xmlns="http://schemas.wps.cn/vas-ai-hub/contract-review">119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3e51957e-bbdb-40c4-8f05-eaf0eed3209f</errorID>
      <errorWord xmlns="http://schemas.wps.cn/vas-ai-hub/contract-review">交有</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交由</item>
      </candidateList>
      <explain xmlns="http://schemas.wps.cn/vas-ai-hub/contract-review">存在发音相同字词的误用。</explain>
      <paraID xmlns="http://schemas.wps.cn/vas-ai-hub/contract-review">48005E24</paraID>
      <start xmlns="http://schemas.wps.cn/vas-ai-hub/contract-review">88</start>
      <end xmlns="http://schemas.wps.cn/vas-ai-hub/contract-review">90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3ad98534-7431-4468-aa7e-4b6cac897a1e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C1CB4C3</paraID>
      <start xmlns="http://schemas.wps.cn/vas-ai-hub/contract-review">118</start>
      <end xmlns="http://schemas.wps.cn/vas-ai-hub/contract-review">119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db9972ea-b87c-4754-acc0-9a4b0d67a626</errorID>
      <errorWord xmlns="http://schemas.wps.cn/vas-ai-hub/contract-review">配</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配备</item>
      </candidateList>
      <explain xmlns="http://schemas.wps.cn/vas-ai-hub/contract-review">❶〈动〉根据需要分配（人力或物力）：～骨干力量｜～三辆吉普车。❷〈动〉布置（兵力）：按地形～火力。❸〈名〉成套的设备、装备等：现代化的～。</explain>
      <paraID xmlns="http://schemas.wps.cn/vas-ai-hub/contract-review">192638A4</paraID>
      <start xmlns="http://schemas.wps.cn/vas-ai-hub/contract-review">143</start>
      <end xmlns="http://schemas.wps.cn/vas-ai-hub/contract-review">145</end>
      <status xmlns="http://schemas.wps.cn/vas-ai-hub/contract-review">modified</status>
      <modifiedWord xmlns="http://schemas.wps.cn/vas-ai-hub/contract-review">配备</modifiedWord>
      <trackRevisions xmlns="http://schemas.wps.cn/vas-ai-hub/contract-review">false</trackRevisions>
    </reviewItem>
    <reviewItem xmlns="http://schemas.wps.cn/vas-ai-hub/contract-review">
      <errorID xmlns="http://schemas.wps.cn/vas-ai-hub/contract-review">4c52de87-a98c-40b4-a83c-2d9d603bab4b</errorID>
      <errorWord xmlns="http://schemas.wps.cn/vas-ai-hub/contract-review">设</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设置</item>
      </candidateList>
      <explain xmlns="http://schemas.wps.cn/vas-ai-hub/contract-review">〈动〉❶设立：这座剧院是为儿童～的。❷安放；安装：～障碍。</explain>
      <paraID xmlns="http://schemas.wps.cn/vas-ai-hub/contract-review">192638A4</paraID>
      <start xmlns="http://schemas.wps.cn/vas-ai-hub/contract-review">231</start>
      <end xmlns="http://schemas.wps.cn/vas-ai-hub/contract-review">233</end>
      <status xmlns="http://schemas.wps.cn/vas-ai-hub/contract-review">modified</status>
      <modifiedWord xmlns="http://schemas.wps.cn/vas-ai-hub/contract-review">设置</modifiedWord>
      <trackRevisions xmlns="http://schemas.wps.cn/vas-ai-hub/contract-review">false</trackRevisions>
    </reviewItem>
    <reviewItem xmlns="http://schemas.wps.cn/vas-ai-hub/contract-review">
      <errorID xmlns="http://schemas.wps.cn/vas-ai-hub/contract-review">1b827f8a-e68f-4d9b-a7ac-d255d6561031</errorID>
      <errorWord xmlns="http://schemas.wps.cn/vas-ai-hub/contract-review">环保治理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环境治理</item>
      </candidateList>
      <explain xmlns="http://schemas.wps.cn/vas-ai-hub/contract-review"/>
      <paraID xmlns="http://schemas.wps.cn/vas-ai-hub/contract-review">3F935FB7</paraID>
      <start xmlns="http://schemas.wps.cn/vas-ai-hub/contract-review">56</start>
      <end xmlns="http://schemas.wps.cn/vas-ai-hub/contract-review">60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2c89d3f3-54c8-45bc-911c-bbcaa327ebcd</errorID>
      <errorWord xmlns="http://schemas.wps.cn/vas-ai-hub/contract-review">墨饰</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墨水</item>
      </candidateList>
      <explain xmlns="http://schemas.wps.cn/vas-ai-hub/contract-review"/>
      <paraID xmlns="http://schemas.wps.cn/vas-ai-hub/contract-review">7D5416B4</paraID>
      <start xmlns="http://schemas.wps.cn/vas-ai-hub/contract-review">22</start>
      <end xmlns="http://schemas.wps.cn/vas-ai-hub/contract-review">24</end>
      <status xmlns="http://schemas.wps.cn/vas-ai-hub/contract-review">modified</status>
      <modifiedWord xmlns="http://schemas.wps.cn/vas-ai-hub/contract-review">墨筛</modifiedWord>
      <trackRevisions xmlns="http://schemas.wps.cn/vas-ai-hub/contract-review">false</trackRevisions>
    </reviewItem>
    <reviewItem xmlns="http://schemas.wps.cn/vas-ai-hub/contract-review">
      <errorID xmlns="http://schemas.wps.cn/vas-ai-hub/contract-review">05e7dc73-1baa-44c2-8db9-ffebd4ef97ec</errorID>
      <errorWord xmlns="http://schemas.wps.cn/vas-ai-hub/contract-review">监测报告</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检测报告</item>
      </candidateList>
      <explain xmlns="http://schemas.wps.cn/vas-ai-hub/contract-review"/>
      <paraID xmlns="http://schemas.wps.cn/vas-ai-hub/contract-review">51D575BD</paraID>
      <start xmlns="http://schemas.wps.cn/vas-ai-hub/contract-review">10</start>
      <end xmlns="http://schemas.wps.cn/vas-ai-hub/contract-review">14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659703cb-dd6e-456c-81e1-55dd868a3e7c</errorID>
      <errorWord xmlns="http://schemas.wps.cn/vas-ai-hub/contract-review">监测报告</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检测报告</item>
      </candidateList>
      <explain xmlns="http://schemas.wps.cn/vas-ai-hub/contract-review"/>
      <paraID xmlns="http://schemas.wps.cn/vas-ai-hub/contract-review">7B27BA26</paraID>
      <start xmlns="http://schemas.wps.cn/vas-ai-hub/contract-review">8</start>
      <end xmlns="http://schemas.wps.cn/vas-ai-hub/contract-review">12</end>
      <status xmlns="http://schemas.wps.cn/vas-ai-hub/contract-review">ignored</status>
      <modifiedWord xmlns="http://schemas.wps.cn/vas-ai-hub/contract-review"/>
      <trackRevisions xmlns="http://schemas.wps.cn/vas-ai-hub/contract-review">false</trackRevisions>
    </reviewItem>
  </reviewItems>
  <config xmlns="http://schemas.wps.cn/vas-ai-hub/contract-review"/>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a721a1b-de81-4b36-9615-abe2a493a57e}">
  <ds:schemaRefs/>
</ds:datastoreItem>
</file>

<file path=docProps/app.xml><?xml version="1.0" encoding="utf-8"?>
<Properties xmlns="http://schemas.openxmlformats.org/officeDocument/2006/extended-properties" xmlns:vt="http://schemas.openxmlformats.org/officeDocument/2006/docPropsVTypes">
  <Template>wdzx97</Template>
  <Company>Microsoft</Company>
  <Pages>114</Pages>
  <Words>17093</Words>
  <Characters>18293</Characters>
  <Lines>1</Lines>
  <Paragraphs>1</Paragraphs>
  <TotalTime>2</TotalTime>
  <ScaleCrop>false</ScaleCrop>
  <LinksUpToDate>false</LinksUpToDate>
  <CharactersWithSpaces>18404</CharactersWithSpaces>
  <Application>WPS Office_12.1.0.25222_F1E327BC-269C-435d-A152-05C5408002CA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2021-05-06T17:44:00Z</dcterms:created>
  <dc:creator>lhj</dc:creator>
  <cp:lastModifiedBy>WPS_1757292562</cp:lastModifiedBy>
  <cp:lastPrinted>2022-12-12T19:53:00Z</cp:lastPrinted>
  <dcterms:modified xsi:type="dcterms:W3CDTF">2026-03-23T08:02:29Z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2052-12.1.0.25222</vt:lpwstr>
  </property>
  <property fmtid="{D5CDD505-2E9C-101B-9397-08002B2CF9AE}" pid="3" name="ICV">
    <vt:lpwstr>04317A6D79DB474CA38E94C30BE1690A_13</vt:lpwstr>
  </property>
  <property fmtid="{D5CDD505-2E9C-101B-9397-08002B2CF9AE}" pid="4" name="KSOTemplateDocerSaveRecord">
    <vt:lpwstr>eyJoZGlkIjoiNjU0YmQ2ZDQzZTE1MGQzNTY5N2MxMDEyNDI3MTQyZWUiLCJ1c2VySWQiOiIxNzQwNTE3OTkyIn0=</vt:lpwstr>
  </property>
</Properties>
</file>